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7154D" w14:textId="77777777" w:rsidR="00B01025" w:rsidRPr="00F23715" w:rsidRDefault="009E745B" w:rsidP="00B01025">
      <w:pPr>
        <w:ind w:right="-180"/>
        <w:rPr>
          <w:bCs/>
          <w:sz w:val="36"/>
          <w:szCs w:val="36"/>
        </w:rPr>
      </w:pPr>
      <w:bookmarkStart w:id="0" w:name="_GoBack"/>
      <w:bookmarkEnd w:id="0"/>
      <w:r>
        <w:br/>
      </w:r>
      <w:r>
        <w:rPr>
          <w:rFonts w:ascii="sans-serif" w:hAnsi="sans-serif"/>
          <w:sz w:val="20"/>
          <w:szCs w:val="20"/>
        </w:rPr>
        <w:br/>
      </w:r>
      <w:r>
        <w:rPr>
          <w:rFonts w:ascii="sans-serif" w:hAnsi="sans-serif"/>
          <w:sz w:val="20"/>
          <w:szCs w:val="20"/>
        </w:rPr>
        <w:br/>
      </w:r>
      <w:r w:rsidR="00B01025" w:rsidRPr="00F23715">
        <w:rPr>
          <w:bCs/>
          <w:sz w:val="36"/>
          <w:szCs w:val="36"/>
        </w:rPr>
        <w:t>Comparing ANP Market Share Results to Actual Values</w:t>
      </w:r>
    </w:p>
    <w:p w14:paraId="64390243" w14:textId="77777777" w:rsidR="00B01025" w:rsidRPr="00F23715" w:rsidRDefault="00B01025">
      <w:pPr>
        <w:rPr>
          <w:bCs/>
          <w:sz w:val="28"/>
          <w:szCs w:val="28"/>
        </w:rPr>
      </w:pPr>
    </w:p>
    <w:p w14:paraId="7A18B5A1" w14:textId="77777777" w:rsidR="00B35A7F" w:rsidRPr="00F23715" w:rsidRDefault="009E745B">
      <w:pPr>
        <w:rPr>
          <w:bCs/>
        </w:rPr>
      </w:pPr>
      <w:r w:rsidRPr="00F23715">
        <w:rPr>
          <w:bCs/>
        </w:rPr>
        <w:t xml:space="preserve">Given two sets of </w:t>
      </w:r>
      <w:r w:rsidR="00B35A7F" w:rsidRPr="00F23715">
        <w:rPr>
          <w:bCs/>
        </w:rPr>
        <w:t xml:space="preserve">priorities, the question is how close are they? In market share estimation exercises, </w:t>
      </w:r>
      <w:r w:rsidR="00933675" w:rsidRPr="00F23715">
        <w:rPr>
          <w:bCs/>
        </w:rPr>
        <w:t xml:space="preserve">the actual market share is determined by obtaining data, for example, income, for the companies. To convert data in dollars to a relative vector that can be compared to the results from an ANP model, take the sum and divide the income for each company by the sum. This is referred to as </w:t>
      </w:r>
      <w:r w:rsidR="00933675" w:rsidRPr="00F23715">
        <w:rPr>
          <w:bCs/>
          <w:i/>
        </w:rPr>
        <w:t>normalizing</w:t>
      </w:r>
      <w:r w:rsidR="00933675" w:rsidRPr="00F23715">
        <w:rPr>
          <w:bCs/>
        </w:rPr>
        <w:t>.</w:t>
      </w:r>
    </w:p>
    <w:p w14:paraId="20FCD3E8" w14:textId="77777777" w:rsidR="00B35A7F" w:rsidRPr="00F23715" w:rsidRDefault="00B35A7F">
      <w:pPr>
        <w:rPr>
          <w:bCs/>
        </w:rPr>
      </w:pPr>
    </w:p>
    <w:p w14:paraId="1E5A2CD9" w14:textId="77777777" w:rsidR="00B35A7F" w:rsidRPr="00F23715" w:rsidRDefault="00B35A7F" w:rsidP="007E0746">
      <w:pPr>
        <w:numPr>
          <w:ilvl w:val="0"/>
          <w:numId w:val="1"/>
        </w:numPr>
        <w:rPr>
          <w:bCs/>
        </w:rPr>
      </w:pPr>
      <w:r w:rsidRPr="00F23715">
        <w:rPr>
          <w:bCs/>
        </w:rPr>
        <w:t>F</w:t>
      </w:r>
      <w:r w:rsidR="009E745B" w:rsidRPr="00F23715">
        <w:rPr>
          <w:bCs/>
        </w:rPr>
        <w:t xml:space="preserve">orm </w:t>
      </w:r>
      <w:r w:rsidRPr="00F23715">
        <w:rPr>
          <w:bCs/>
        </w:rPr>
        <w:t>a</w:t>
      </w:r>
      <w:r w:rsidR="009E745B" w:rsidRPr="00F23715">
        <w:rPr>
          <w:bCs/>
        </w:rPr>
        <w:t xml:space="preserve"> matrix </w:t>
      </w:r>
      <w:r w:rsidRPr="00F23715">
        <w:rPr>
          <w:bCs/>
        </w:rPr>
        <w:t>from the first set of priorities by taking the ratios of the priority vector elements; form another matrix from the second set of priorities.</w:t>
      </w:r>
    </w:p>
    <w:p w14:paraId="047731D7" w14:textId="77777777" w:rsidR="007E0746" w:rsidRPr="00F23715" w:rsidRDefault="009E745B" w:rsidP="007E0746">
      <w:pPr>
        <w:numPr>
          <w:ilvl w:val="0"/>
          <w:numId w:val="1"/>
        </w:numPr>
        <w:rPr>
          <w:bCs/>
        </w:rPr>
      </w:pPr>
      <w:r w:rsidRPr="00F23715">
        <w:t xml:space="preserve"> </w:t>
      </w:r>
      <w:r w:rsidRPr="00F23715">
        <w:rPr>
          <w:bCs/>
        </w:rPr>
        <w:t xml:space="preserve">Take the transpose of the second matrix. </w:t>
      </w:r>
    </w:p>
    <w:p w14:paraId="6BBFB0A3" w14:textId="77777777" w:rsidR="007E0746" w:rsidRPr="00F23715" w:rsidRDefault="009E745B" w:rsidP="007E0746">
      <w:pPr>
        <w:numPr>
          <w:ilvl w:val="0"/>
          <w:numId w:val="1"/>
        </w:numPr>
        <w:rPr>
          <w:bCs/>
        </w:rPr>
      </w:pPr>
      <w:r w:rsidRPr="00F23715">
        <w:rPr>
          <w:bCs/>
        </w:rPr>
        <w:t>Multiply the two matrices element</w:t>
      </w:r>
      <w:r w:rsidR="00933675" w:rsidRPr="00F23715">
        <w:rPr>
          <w:bCs/>
        </w:rPr>
        <w:t>-</w:t>
      </w:r>
      <w:r w:rsidRPr="00F23715">
        <w:rPr>
          <w:bCs/>
        </w:rPr>
        <w:t>wise (</w:t>
      </w:r>
      <w:r w:rsidR="00933675" w:rsidRPr="00F23715">
        <w:rPr>
          <w:bCs/>
        </w:rPr>
        <w:t>known as</w:t>
      </w:r>
      <w:r w:rsidRPr="00F23715">
        <w:rPr>
          <w:bCs/>
        </w:rPr>
        <w:t xml:space="preserve"> Hadamard </w:t>
      </w:r>
      <w:r w:rsidR="00933675" w:rsidRPr="00F23715">
        <w:rPr>
          <w:bCs/>
        </w:rPr>
        <w:t xml:space="preserve">matrix </w:t>
      </w:r>
      <w:r w:rsidRPr="00F23715">
        <w:rPr>
          <w:bCs/>
        </w:rPr>
        <w:t>multiplication)</w:t>
      </w:r>
      <w:r w:rsidR="00697371" w:rsidRPr="00F23715">
        <w:rPr>
          <w:bCs/>
        </w:rPr>
        <w:t xml:space="preserve"> forming a third matrix</w:t>
      </w:r>
      <w:r w:rsidR="007E0746" w:rsidRPr="00F23715">
        <w:rPr>
          <w:bCs/>
        </w:rPr>
        <w:t>.</w:t>
      </w:r>
    </w:p>
    <w:p w14:paraId="33E84B83" w14:textId="77777777" w:rsidR="00B35A7F" w:rsidRPr="00F23715" w:rsidRDefault="00B35A7F" w:rsidP="007E0746">
      <w:pPr>
        <w:numPr>
          <w:ilvl w:val="0"/>
          <w:numId w:val="1"/>
        </w:numPr>
        <w:rPr>
          <w:bCs/>
        </w:rPr>
      </w:pPr>
      <w:r w:rsidRPr="00F23715">
        <w:rPr>
          <w:bCs/>
        </w:rPr>
        <w:t xml:space="preserve">Sum the numbers </w:t>
      </w:r>
      <w:r w:rsidR="00697371" w:rsidRPr="00F23715">
        <w:rPr>
          <w:bCs/>
        </w:rPr>
        <w:t>in</w:t>
      </w:r>
      <w:r w:rsidRPr="00F23715">
        <w:rPr>
          <w:bCs/>
        </w:rPr>
        <w:t xml:space="preserve"> </w:t>
      </w:r>
      <w:r w:rsidR="00697371" w:rsidRPr="00F23715">
        <w:rPr>
          <w:bCs/>
        </w:rPr>
        <w:t xml:space="preserve">all </w:t>
      </w:r>
      <w:r w:rsidRPr="00F23715">
        <w:rPr>
          <w:bCs/>
        </w:rPr>
        <w:t xml:space="preserve">the cells </w:t>
      </w:r>
      <w:r w:rsidR="00697371" w:rsidRPr="00F23715">
        <w:rPr>
          <w:bCs/>
        </w:rPr>
        <w:t>of this</w:t>
      </w:r>
      <w:r w:rsidRPr="00F23715">
        <w:rPr>
          <w:bCs/>
        </w:rPr>
        <w:t xml:space="preserve"> matrix</w:t>
      </w:r>
      <w:r w:rsidR="009E745B" w:rsidRPr="00F23715">
        <w:rPr>
          <w:bCs/>
        </w:rPr>
        <w:t xml:space="preserve"> and </w:t>
      </w:r>
      <w:r w:rsidRPr="00F23715">
        <w:rPr>
          <w:bCs/>
        </w:rPr>
        <w:t>divide the sum</w:t>
      </w:r>
      <w:r w:rsidR="009E745B" w:rsidRPr="00F23715">
        <w:rPr>
          <w:bCs/>
        </w:rPr>
        <w:t xml:space="preserve"> by n</w:t>
      </w:r>
      <w:r w:rsidRPr="00F23715">
        <w:rPr>
          <w:bCs/>
        </w:rPr>
        <w:t>2.</w:t>
      </w:r>
      <w:r w:rsidR="00697371" w:rsidRPr="00F23715">
        <w:rPr>
          <w:bCs/>
        </w:rPr>
        <w:t xml:space="preserve"> This ratio is known as the incompatibility index.</w:t>
      </w:r>
    </w:p>
    <w:p w14:paraId="71A5A273" w14:textId="77777777" w:rsidR="00B35A7F" w:rsidRPr="00F23715" w:rsidRDefault="00B35A7F" w:rsidP="007E0746">
      <w:pPr>
        <w:ind w:left="720"/>
        <w:rPr>
          <w:bCs/>
        </w:rPr>
      </w:pPr>
    </w:p>
    <w:p w14:paraId="7A560904" w14:textId="77777777" w:rsidR="007E0746" w:rsidRPr="00F23715" w:rsidRDefault="007E0746" w:rsidP="00331B75">
      <w:pPr>
        <w:rPr>
          <w:bCs/>
        </w:rPr>
      </w:pPr>
      <w:r w:rsidRPr="00F23715">
        <w:rPr>
          <w:bCs/>
        </w:rPr>
        <w:t>There are templates available for n=2 to n=8</w:t>
      </w:r>
      <w:r w:rsidR="00331B75" w:rsidRPr="00F23715">
        <w:rPr>
          <w:bCs/>
        </w:rPr>
        <w:t xml:space="preserve"> to calculate the incompatibility index</w:t>
      </w:r>
      <w:r w:rsidRPr="00F23715">
        <w:rPr>
          <w:bCs/>
        </w:rPr>
        <w:t xml:space="preserve">.  </w:t>
      </w:r>
      <w:r w:rsidR="00331B75" w:rsidRPr="00F23715">
        <w:rPr>
          <w:bCs/>
        </w:rPr>
        <w:t>To use a template e</w:t>
      </w:r>
      <w:r w:rsidRPr="00F23715">
        <w:rPr>
          <w:bCs/>
        </w:rPr>
        <w:t>nter the normalized numbers for actual market share and enter the ANP model synthesized results (use the “</w:t>
      </w:r>
      <w:proofErr w:type="spellStart"/>
      <w:r w:rsidRPr="00F23715">
        <w:rPr>
          <w:bCs/>
        </w:rPr>
        <w:t>normals</w:t>
      </w:r>
      <w:proofErr w:type="spellEnd"/>
      <w:r w:rsidRPr="00F23715">
        <w:rPr>
          <w:bCs/>
        </w:rPr>
        <w:t>”</w:t>
      </w:r>
      <w:r w:rsidR="00EA3CB4" w:rsidRPr="00F23715">
        <w:rPr>
          <w:bCs/>
        </w:rPr>
        <w:t xml:space="preserve"> column) to have the incompatibility index automatically calculated.</w:t>
      </w:r>
    </w:p>
    <w:p w14:paraId="51A4C661" w14:textId="77777777" w:rsidR="007E0746" w:rsidRPr="00F23715" w:rsidRDefault="007E0746" w:rsidP="007E0746">
      <w:pPr>
        <w:ind w:left="720"/>
        <w:rPr>
          <w:bCs/>
        </w:rPr>
      </w:pPr>
    </w:p>
    <w:p w14:paraId="395B4EAE" w14:textId="77777777" w:rsidR="002B317E" w:rsidRPr="00F23715" w:rsidRDefault="00697371">
      <w:pPr>
        <w:rPr>
          <w:bCs/>
        </w:rPr>
      </w:pPr>
      <w:r w:rsidRPr="00F23715">
        <w:rPr>
          <w:bCs/>
        </w:rPr>
        <w:t xml:space="preserve">This </w:t>
      </w:r>
      <w:r w:rsidR="006B2A35" w:rsidRPr="00F23715">
        <w:rPr>
          <w:bCs/>
        </w:rPr>
        <w:t>ratio</w:t>
      </w:r>
      <w:r w:rsidRPr="00F23715">
        <w:rPr>
          <w:bCs/>
        </w:rPr>
        <w:t xml:space="preserve"> is always greater than or equal to 1.0. </w:t>
      </w:r>
      <w:r w:rsidR="009E745B" w:rsidRPr="00F23715">
        <w:rPr>
          <w:bCs/>
        </w:rPr>
        <w:t xml:space="preserve">If the two sets of numbers are identical the </w:t>
      </w:r>
      <w:r w:rsidR="00B35A7F" w:rsidRPr="00F23715">
        <w:rPr>
          <w:bCs/>
        </w:rPr>
        <w:t>ratio</w:t>
      </w:r>
      <w:r w:rsidR="009E745B" w:rsidRPr="00F23715">
        <w:rPr>
          <w:bCs/>
        </w:rPr>
        <w:t xml:space="preserve"> </w:t>
      </w:r>
      <w:r w:rsidR="00B35A7F" w:rsidRPr="00F23715">
        <w:rPr>
          <w:bCs/>
        </w:rPr>
        <w:t>is</w:t>
      </w:r>
      <w:r w:rsidR="009E745B" w:rsidRPr="00F23715">
        <w:rPr>
          <w:bCs/>
        </w:rPr>
        <w:t xml:space="preserve"> one.</w:t>
      </w:r>
      <w:r w:rsidR="009E745B" w:rsidRPr="00F23715">
        <w:t xml:space="preserve"> </w:t>
      </w:r>
      <w:r w:rsidR="009E745B" w:rsidRPr="00F23715">
        <w:rPr>
          <w:bCs/>
        </w:rPr>
        <w:t>If</w:t>
      </w:r>
      <w:r w:rsidR="00B35A7F" w:rsidRPr="00F23715">
        <w:rPr>
          <w:bCs/>
        </w:rPr>
        <w:t xml:space="preserve"> they are not identical, the </w:t>
      </w:r>
      <w:r w:rsidR="006B2A35" w:rsidRPr="00F23715">
        <w:rPr>
          <w:bCs/>
        </w:rPr>
        <w:t>incompatibility index</w:t>
      </w:r>
      <w:r w:rsidR="00B35A7F" w:rsidRPr="00F23715">
        <w:rPr>
          <w:bCs/>
        </w:rPr>
        <w:t xml:space="preserve"> gives a measure of </w:t>
      </w:r>
      <w:r w:rsidR="006B2A35" w:rsidRPr="00F23715">
        <w:rPr>
          <w:bCs/>
        </w:rPr>
        <w:t>how different are</w:t>
      </w:r>
      <w:r w:rsidR="00B35A7F" w:rsidRPr="00F23715">
        <w:rPr>
          <w:bCs/>
        </w:rPr>
        <w:t xml:space="preserve"> the actual and calculated priorities. </w:t>
      </w:r>
      <w:r w:rsidRPr="00F23715">
        <w:rPr>
          <w:bCs/>
        </w:rPr>
        <w:t xml:space="preserve"> Below are some examples of priority vectors and the associated incompatibility index.</w:t>
      </w:r>
    </w:p>
    <w:p w14:paraId="7EE64213" w14:textId="77777777" w:rsidR="007E0746" w:rsidRDefault="007E0746">
      <w:pPr>
        <w:rPr>
          <w:b/>
          <w:bCs/>
          <w:sz w:val="28"/>
          <w:szCs w:val="28"/>
        </w:rPr>
      </w:pPr>
    </w:p>
    <w:p w14:paraId="6281BD13" w14:textId="77777777" w:rsidR="0003556C" w:rsidRPr="00042C24" w:rsidRDefault="00042C24" w:rsidP="00042C24">
      <w:pPr>
        <w:pStyle w:val="Heading2"/>
      </w:pPr>
      <w:r w:rsidRPr="00042C24">
        <w:t xml:space="preserve">Determining Market Share of </w:t>
      </w:r>
      <w:proofErr w:type="spellStart"/>
      <w:r w:rsidRPr="00042C24">
        <w:t>Speciality</w:t>
      </w:r>
      <w:proofErr w:type="spellEnd"/>
      <w:r w:rsidRPr="00042C24">
        <w:t xml:space="preserve"> Retailers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736"/>
        <w:gridCol w:w="3168"/>
      </w:tblGrid>
      <w:tr w:rsidR="0003556C" w14:paraId="1F1E39E1" w14:textId="77777777" w:rsidTr="000367AF">
        <w:tc>
          <w:tcPr>
            <w:tcW w:w="2952" w:type="dxa"/>
          </w:tcPr>
          <w:p w14:paraId="263F6A94" w14:textId="77777777" w:rsidR="0003556C" w:rsidRDefault="0003556C" w:rsidP="00331B75">
            <w:pPr>
              <w:rPr>
                <w:b/>
                <w:bCs/>
              </w:rPr>
            </w:pPr>
            <w:r>
              <w:rPr>
                <w:b/>
                <w:bCs/>
              </w:rPr>
              <w:t>Specialty Retailers</w:t>
            </w:r>
          </w:p>
        </w:tc>
        <w:tc>
          <w:tcPr>
            <w:tcW w:w="2736" w:type="dxa"/>
          </w:tcPr>
          <w:p w14:paraId="69E88016" w14:textId="77777777" w:rsidR="0003556C" w:rsidRDefault="0003556C" w:rsidP="00331B75">
            <w:pPr>
              <w:rPr>
                <w:b/>
                <w:bCs/>
              </w:rPr>
            </w:pPr>
            <w:r>
              <w:rPr>
                <w:b/>
                <w:bCs/>
              </w:rPr>
              <w:t>Market Share from Data</w:t>
            </w:r>
          </w:p>
          <w:p w14:paraId="1786C168" w14:textId="77777777" w:rsidR="0003556C" w:rsidRDefault="0003556C" w:rsidP="00331B75">
            <w:pPr>
              <w:rPr>
                <w:b/>
                <w:bCs/>
              </w:rPr>
            </w:pPr>
            <w:r>
              <w:rPr>
                <w:b/>
                <w:bCs/>
              </w:rPr>
              <w:t>(2001 Sales Volume)</w:t>
            </w:r>
          </w:p>
        </w:tc>
        <w:tc>
          <w:tcPr>
            <w:tcW w:w="3168" w:type="dxa"/>
          </w:tcPr>
          <w:p w14:paraId="27B67E76" w14:textId="77777777" w:rsidR="0003556C" w:rsidRDefault="0003556C" w:rsidP="00331B75">
            <w:pPr>
              <w:rPr>
                <w:b/>
                <w:bCs/>
              </w:rPr>
            </w:pPr>
            <w:r>
              <w:rPr>
                <w:b/>
                <w:bCs/>
              </w:rPr>
              <w:t>SuperDecisions Results</w:t>
            </w:r>
          </w:p>
        </w:tc>
      </w:tr>
      <w:tr w:rsidR="0003556C" w14:paraId="303382E3" w14:textId="77777777" w:rsidTr="000367AF">
        <w:tc>
          <w:tcPr>
            <w:tcW w:w="2952" w:type="dxa"/>
          </w:tcPr>
          <w:p w14:paraId="659F2B60" w14:textId="77777777" w:rsidR="0003556C" w:rsidRDefault="0003556C" w:rsidP="00331B75">
            <w:r>
              <w:t>American Eagle</w:t>
            </w:r>
          </w:p>
        </w:tc>
        <w:tc>
          <w:tcPr>
            <w:tcW w:w="2736" w:type="dxa"/>
          </w:tcPr>
          <w:p w14:paraId="264FFC62" w14:textId="77777777" w:rsidR="0003556C" w:rsidRDefault="0003556C" w:rsidP="00331B75">
            <w:r>
              <w:t>40.1</w:t>
            </w:r>
          </w:p>
        </w:tc>
        <w:tc>
          <w:tcPr>
            <w:tcW w:w="3168" w:type="dxa"/>
          </w:tcPr>
          <w:p w14:paraId="659214C4" w14:textId="77777777" w:rsidR="0003556C" w:rsidRDefault="0003556C" w:rsidP="00331B75">
            <w:r>
              <w:t>40.3</w:t>
            </w:r>
          </w:p>
        </w:tc>
      </w:tr>
      <w:tr w:rsidR="0003556C" w14:paraId="658E7075" w14:textId="77777777" w:rsidTr="000367AF">
        <w:tc>
          <w:tcPr>
            <w:tcW w:w="2952" w:type="dxa"/>
          </w:tcPr>
          <w:p w14:paraId="43311695" w14:textId="77777777" w:rsidR="0003556C" w:rsidRDefault="0003556C" w:rsidP="00331B75">
            <w:r>
              <w:t>Abercrombie and Fitch</w:t>
            </w:r>
          </w:p>
        </w:tc>
        <w:tc>
          <w:tcPr>
            <w:tcW w:w="2736" w:type="dxa"/>
          </w:tcPr>
          <w:p w14:paraId="4D3C1CFB" w14:textId="77777777" w:rsidR="0003556C" w:rsidRDefault="0003556C" w:rsidP="00331B75">
            <w:r>
              <w:t>39.9</w:t>
            </w:r>
          </w:p>
        </w:tc>
        <w:tc>
          <w:tcPr>
            <w:tcW w:w="3168" w:type="dxa"/>
          </w:tcPr>
          <w:p w14:paraId="1630B4A2" w14:textId="77777777" w:rsidR="0003556C" w:rsidRDefault="0003556C" w:rsidP="00331B75">
            <w:r>
              <w:t>36.8</w:t>
            </w:r>
          </w:p>
        </w:tc>
      </w:tr>
      <w:tr w:rsidR="0003556C" w14:paraId="6A0EB4B8" w14:textId="77777777" w:rsidTr="000367AF">
        <w:tc>
          <w:tcPr>
            <w:tcW w:w="2952" w:type="dxa"/>
          </w:tcPr>
          <w:p w14:paraId="247D2EE5" w14:textId="77777777" w:rsidR="0003556C" w:rsidRDefault="0003556C" w:rsidP="00331B75">
            <w:r>
              <w:t xml:space="preserve">Pacific </w:t>
            </w:r>
            <w:proofErr w:type="spellStart"/>
            <w:r>
              <w:t>Sunwear</w:t>
            </w:r>
            <w:proofErr w:type="spellEnd"/>
          </w:p>
        </w:tc>
        <w:tc>
          <w:tcPr>
            <w:tcW w:w="2736" w:type="dxa"/>
          </w:tcPr>
          <w:p w14:paraId="717CBA5D" w14:textId="77777777" w:rsidR="0003556C" w:rsidRDefault="0003556C" w:rsidP="00331B75">
            <w:r>
              <w:t>20.0</w:t>
            </w:r>
          </w:p>
        </w:tc>
        <w:tc>
          <w:tcPr>
            <w:tcW w:w="3168" w:type="dxa"/>
          </w:tcPr>
          <w:p w14:paraId="5906844F" w14:textId="77777777" w:rsidR="0003556C" w:rsidRDefault="0003556C" w:rsidP="00331B75">
            <w:r>
              <w:t>22.9</w:t>
            </w:r>
          </w:p>
        </w:tc>
      </w:tr>
    </w:tbl>
    <w:p w14:paraId="5137F7DF" w14:textId="77777777" w:rsidR="0003556C" w:rsidRDefault="0003556C" w:rsidP="0003556C">
      <w:r>
        <w:rPr>
          <w:b/>
          <w:bCs/>
        </w:rPr>
        <w:t>Compatibility Index: 1.00793</w:t>
      </w:r>
    </w:p>
    <w:tbl>
      <w:tblPr>
        <w:tblW w:w="960" w:type="dxa"/>
        <w:tblCellMar>
          <w:left w:w="0" w:type="dxa"/>
          <w:right w:w="0" w:type="dxa"/>
        </w:tblCellMar>
        <w:tblLook w:val="0000" w:firstRow="0" w:lastRow="0" w:firstColumn="0" w:lastColumn="0" w:noHBand="0" w:noVBand="0"/>
      </w:tblPr>
      <w:tblGrid>
        <w:gridCol w:w="960"/>
      </w:tblGrid>
      <w:tr w:rsidR="0003556C" w14:paraId="3723EE18" w14:textId="77777777" w:rsidTr="00331B75">
        <w:trPr>
          <w:trHeight w:val="255"/>
        </w:trPr>
        <w:tc>
          <w:tcPr>
            <w:tcW w:w="960" w:type="dxa"/>
            <w:tcBorders>
              <w:top w:val="nil"/>
              <w:left w:val="nil"/>
              <w:bottom w:val="nil"/>
              <w:right w:val="nil"/>
            </w:tcBorders>
            <w:noWrap/>
            <w:tcMar>
              <w:top w:w="15" w:type="dxa"/>
              <w:left w:w="15" w:type="dxa"/>
              <w:bottom w:w="0" w:type="dxa"/>
              <w:right w:w="15" w:type="dxa"/>
            </w:tcMar>
            <w:vAlign w:val="bottom"/>
          </w:tcPr>
          <w:p w14:paraId="6B2CF79B" w14:textId="77777777" w:rsidR="0003556C" w:rsidRDefault="0003556C" w:rsidP="00331B75">
            <w:pPr>
              <w:jc w:val="right"/>
              <w:rPr>
                <w:rFonts w:ascii="Arial" w:eastAsia="Arial Unicode MS" w:hAnsi="Arial" w:cs="Arial"/>
                <w:b/>
                <w:bCs/>
                <w:sz w:val="20"/>
                <w:szCs w:val="20"/>
              </w:rPr>
            </w:pPr>
          </w:p>
        </w:tc>
      </w:tr>
    </w:tbl>
    <w:p w14:paraId="7871E110" w14:textId="77777777" w:rsidR="00B01025" w:rsidRDefault="00B01025" w:rsidP="00042C24">
      <w:pPr>
        <w:pStyle w:val="Heading2"/>
      </w:pPr>
    </w:p>
    <w:p w14:paraId="43D4148E" w14:textId="77777777" w:rsidR="0003556C" w:rsidRDefault="0003556C" w:rsidP="00042C24">
      <w:pPr>
        <w:pStyle w:val="Heading2"/>
      </w:pPr>
      <w:r>
        <w:t>Determining Market Share of Top Toy Retailers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171"/>
        <w:gridCol w:w="2160"/>
      </w:tblGrid>
      <w:tr w:rsidR="0003556C" w14:paraId="3B588D81" w14:textId="77777777" w:rsidTr="00B56D19">
        <w:tc>
          <w:tcPr>
            <w:tcW w:w="1977" w:type="dxa"/>
          </w:tcPr>
          <w:p w14:paraId="3A255B3C" w14:textId="77777777" w:rsidR="0003556C" w:rsidRDefault="0003556C" w:rsidP="00331B75">
            <w:pPr>
              <w:rPr>
                <w:b/>
                <w:bCs/>
              </w:rPr>
            </w:pPr>
            <w:r>
              <w:rPr>
                <w:b/>
                <w:bCs/>
              </w:rPr>
              <w:t>Toy Retailers</w:t>
            </w:r>
          </w:p>
        </w:tc>
        <w:tc>
          <w:tcPr>
            <w:tcW w:w="3171" w:type="dxa"/>
          </w:tcPr>
          <w:p w14:paraId="4629E9DC" w14:textId="77777777" w:rsidR="0003556C" w:rsidRDefault="0003556C" w:rsidP="00331B75">
            <w:pPr>
              <w:rPr>
                <w:b/>
                <w:bCs/>
              </w:rPr>
            </w:pPr>
            <w:r>
              <w:rPr>
                <w:b/>
                <w:bCs/>
              </w:rPr>
              <w:t>Market Share from Data</w:t>
            </w:r>
          </w:p>
          <w:p w14:paraId="50FD6753" w14:textId="77777777" w:rsidR="0003556C" w:rsidRDefault="0003556C" w:rsidP="00331B75">
            <w:pPr>
              <w:rPr>
                <w:b/>
                <w:bCs/>
              </w:rPr>
            </w:pPr>
            <w:r>
              <w:rPr>
                <w:rFonts w:ascii="Arial" w:hAnsi="Arial" w:cs="Arial"/>
              </w:rPr>
              <w:t xml:space="preserve">Results from this link: </w:t>
            </w:r>
            <w:hyperlink r:id="rId5" w:history="1">
              <w:r>
                <w:rPr>
                  <w:rStyle w:val="Hyperlink"/>
                  <w:rFonts w:ascii="Arial" w:hAnsi="Arial" w:cs="Arial"/>
                </w:rPr>
                <w:t>www.toy-tia.org/industry/statistics/topretailers.html</w:t>
              </w:r>
            </w:hyperlink>
          </w:p>
        </w:tc>
        <w:tc>
          <w:tcPr>
            <w:tcW w:w="2160" w:type="dxa"/>
          </w:tcPr>
          <w:p w14:paraId="2471C328" w14:textId="77777777" w:rsidR="0003556C" w:rsidRDefault="0003556C" w:rsidP="00331B75">
            <w:pPr>
              <w:rPr>
                <w:b/>
                <w:bCs/>
              </w:rPr>
            </w:pPr>
            <w:r>
              <w:rPr>
                <w:b/>
                <w:bCs/>
              </w:rPr>
              <w:t>SuperDecisions Results</w:t>
            </w:r>
          </w:p>
        </w:tc>
      </w:tr>
      <w:tr w:rsidR="0003556C" w14:paraId="11AE7179" w14:textId="77777777" w:rsidTr="00B56D19">
        <w:tc>
          <w:tcPr>
            <w:tcW w:w="1977" w:type="dxa"/>
          </w:tcPr>
          <w:p w14:paraId="4F395BA3" w14:textId="77777777" w:rsidR="0003556C" w:rsidRDefault="0003556C" w:rsidP="00331B75">
            <w:r>
              <w:t>Kmart</w:t>
            </w:r>
          </w:p>
        </w:tc>
        <w:tc>
          <w:tcPr>
            <w:tcW w:w="3171" w:type="dxa"/>
          </w:tcPr>
          <w:p w14:paraId="667D6AE2" w14:textId="77777777" w:rsidR="0003556C" w:rsidRDefault="0003556C" w:rsidP="00331B75">
            <w:r>
              <w:t>14.7</w:t>
            </w:r>
          </w:p>
        </w:tc>
        <w:tc>
          <w:tcPr>
            <w:tcW w:w="2160" w:type="dxa"/>
          </w:tcPr>
          <w:p w14:paraId="747A44CD" w14:textId="77777777" w:rsidR="0003556C" w:rsidRDefault="0003556C" w:rsidP="00331B75">
            <w:r>
              <w:t>15.1</w:t>
            </w:r>
          </w:p>
        </w:tc>
      </w:tr>
      <w:tr w:rsidR="0003556C" w14:paraId="0D1C8A80" w14:textId="77777777" w:rsidTr="00B56D19">
        <w:tc>
          <w:tcPr>
            <w:tcW w:w="1977" w:type="dxa"/>
          </w:tcPr>
          <w:p w14:paraId="6C43F251" w14:textId="77777777" w:rsidR="0003556C" w:rsidRDefault="0003556C" w:rsidP="00331B75">
            <w:r>
              <w:lastRenderedPageBreak/>
              <w:t>Target</w:t>
            </w:r>
          </w:p>
        </w:tc>
        <w:tc>
          <w:tcPr>
            <w:tcW w:w="3171" w:type="dxa"/>
          </w:tcPr>
          <w:p w14:paraId="05B3F295" w14:textId="77777777" w:rsidR="0003556C" w:rsidRDefault="0003556C" w:rsidP="00331B75">
            <w:r>
              <w:t>14.4</w:t>
            </w:r>
          </w:p>
        </w:tc>
        <w:tc>
          <w:tcPr>
            <w:tcW w:w="2160" w:type="dxa"/>
          </w:tcPr>
          <w:p w14:paraId="636DF9FF" w14:textId="77777777" w:rsidR="0003556C" w:rsidRDefault="0003556C" w:rsidP="00331B75">
            <w:r>
              <w:t>12.0</w:t>
            </w:r>
          </w:p>
        </w:tc>
      </w:tr>
      <w:tr w:rsidR="0003556C" w14:paraId="66A9BB05" w14:textId="77777777" w:rsidTr="00B56D19">
        <w:tc>
          <w:tcPr>
            <w:tcW w:w="1977" w:type="dxa"/>
          </w:tcPr>
          <w:p w14:paraId="1AFA0254" w14:textId="77777777" w:rsidR="0003556C" w:rsidRDefault="0003556C" w:rsidP="00331B75">
            <w:r>
              <w:t>Toys ‘r Us</w:t>
            </w:r>
          </w:p>
        </w:tc>
        <w:tc>
          <w:tcPr>
            <w:tcW w:w="3171" w:type="dxa"/>
          </w:tcPr>
          <w:p w14:paraId="04382257" w14:textId="77777777" w:rsidR="0003556C" w:rsidRDefault="0003556C" w:rsidP="00331B75">
            <w:r>
              <w:t>32.9</w:t>
            </w:r>
          </w:p>
        </w:tc>
        <w:tc>
          <w:tcPr>
            <w:tcW w:w="2160" w:type="dxa"/>
          </w:tcPr>
          <w:p w14:paraId="788A2491" w14:textId="77777777" w:rsidR="0003556C" w:rsidRDefault="0003556C" w:rsidP="00331B75">
            <w:r>
              <w:t>33.0</w:t>
            </w:r>
          </w:p>
        </w:tc>
      </w:tr>
      <w:tr w:rsidR="0003556C" w14:paraId="51EC6B03" w14:textId="77777777" w:rsidTr="00B56D19">
        <w:tc>
          <w:tcPr>
            <w:tcW w:w="1977" w:type="dxa"/>
          </w:tcPr>
          <w:p w14:paraId="1878A1D6" w14:textId="77777777" w:rsidR="0003556C" w:rsidRDefault="0003556C" w:rsidP="00331B75">
            <w:r>
              <w:t>Walmart</w:t>
            </w:r>
          </w:p>
        </w:tc>
        <w:tc>
          <w:tcPr>
            <w:tcW w:w="3171" w:type="dxa"/>
          </w:tcPr>
          <w:p w14:paraId="66E53B3F" w14:textId="77777777" w:rsidR="0003556C" w:rsidRDefault="0003556C" w:rsidP="00331B75">
            <w:r>
              <w:t>37.9</w:t>
            </w:r>
          </w:p>
        </w:tc>
        <w:tc>
          <w:tcPr>
            <w:tcW w:w="2160" w:type="dxa"/>
          </w:tcPr>
          <w:p w14:paraId="031EDC0C" w14:textId="77777777" w:rsidR="0003556C" w:rsidRDefault="0003556C" w:rsidP="00331B75">
            <w:r>
              <w:t>39.8</w:t>
            </w:r>
          </w:p>
        </w:tc>
      </w:tr>
    </w:tbl>
    <w:p w14:paraId="75D223D6" w14:textId="77777777" w:rsidR="0003556C" w:rsidRDefault="0003556C" w:rsidP="0003556C">
      <w:r>
        <w:rPr>
          <w:b/>
          <w:bCs/>
        </w:rPr>
        <w:t>Compatibility Index: 1.008452</w:t>
      </w:r>
    </w:p>
    <w:tbl>
      <w:tblPr>
        <w:tblW w:w="916" w:type="dxa"/>
        <w:tblCellMar>
          <w:left w:w="0" w:type="dxa"/>
          <w:right w:w="0" w:type="dxa"/>
        </w:tblCellMar>
        <w:tblLook w:val="0000" w:firstRow="0" w:lastRow="0" w:firstColumn="0" w:lastColumn="0" w:noHBand="0" w:noVBand="0"/>
      </w:tblPr>
      <w:tblGrid>
        <w:gridCol w:w="916"/>
      </w:tblGrid>
      <w:tr w:rsidR="0003556C" w14:paraId="3C46AA4B" w14:textId="77777777" w:rsidTr="00331B75">
        <w:trPr>
          <w:trHeight w:val="262"/>
        </w:trPr>
        <w:tc>
          <w:tcPr>
            <w:tcW w:w="916" w:type="dxa"/>
            <w:tcBorders>
              <w:top w:val="nil"/>
              <w:left w:val="nil"/>
              <w:bottom w:val="nil"/>
              <w:right w:val="nil"/>
            </w:tcBorders>
            <w:noWrap/>
            <w:tcMar>
              <w:top w:w="15" w:type="dxa"/>
              <w:left w:w="15" w:type="dxa"/>
              <w:bottom w:w="0" w:type="dxa"/>
              <w:right w:w="15" w:type="dxa"/>
            </w:tcMar>
            <w:vAlign w:val="bottom"/>
          </w:tcPr>
          <w:p w14:paraId="19B5C01B" w14:textId="77777777" w:rsidR="0003556C" w:rsidRDefault="0003556C" w:rsidP="00331B75">
            <w:pPr>
              <w:jc w:val="right"/>
              <w:rPr>
                <w:rFonts w:ascii="Arial" w:eastAsia="Arial Unicode MS" w:hAnsi="Arial" w:cs="Arial"/>
                <w:b/>
                <w:bCs/>
                <w:sz w:val="20"/>
                <w:szCs w:val="20"/>
              </w:rPr>
            </w:pPr>
          </w:p>
          <w:p w14:paraId="6C978CEB" w14:textId="77777777" w:rsidR="00B01025" w:rsidRDefault="00B01025" w:rsidP="00331B75">
            <w:pPr>
              <w:jc w:val="right"/>
              <w:rPr>
                <w:rFonts w:ascii="Arial" w:eastAsia="Arial Unicode MS" w:hAnsi="Arial" w:cs="Arial"/>
                <w:b/>
                <w:bCs/>
                <w:sz w:val="20"/>
                <w:szCs w:val="20"/>
              </w:rPr>
            </w:pPr>
          </w:p>
          <w:p w14:paraId="0D060DA8" w14:textId="77777777" w:rsidR="00B01025" w:rsidRDefault="00B01025" w:rsidP="00331B75">
            <w:pPr>
              <w:jc w:val="right"/>
              <w:rPr>
                <w:rFonts w:ascii="Arial" w:eastAsia="Arial Unicode MS" w:hAnsi="Arial" w:cs="Arial"/>
                <w:b/>
                <w:bCs/>
                <w:sz w:val="20"/>
                <w:szCs w:val="20"/>
              </w:rPr>
            </w:pPr>
          </w:p>
        </w:tc>
      </w:tr>
    </w:tbl>
    <w:p w14:paraId="7DFFC4ED" w14:textId="77777777" w:rsidR="0003556C" w:rsidRDefault="0003556C" w:rsidP="007E0746">
      <w:pPr>
        <w:pStyle w:val="Heading2"/>
      </w:pPr>
      <w:r>
        <w:t>Estimating Market Share of Four Major Hotel Chains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780"/>
        <w:gridCol w:w="1980"/>
      </w:tblGrid>
      <w:tr w:rsidR="0003556C" w14:paraId="797018BD" w14:textId="77777777" w:rsidTr="00B01025">
        <w:tc>
          <w:tcPr>
            <w:tcW w:w="1548" w:type="dxa"/>
          </w:tcPr>
          <w:p w14:paraId="5832B574" w14:textId="77777777" w:rsidR="0003556C" w:rsidRDefault="0003556C" w:rsidP="00331B75">
            <w:pPr>
              <w:rPr>
                <w:b/>
                <w:bCs/>
              </w:rPr>
            </w:pPr>
            <w:r>
              <w:rPr>
                <w:b/>
                <w:bCs/>
              </w:rPr>
              <w:t>Hotel Chains</w:t>
            </w:r>
          </w:p>
        </w:tc>
        <w:tc>
          <w:tcPr>
            <w:tcW w:w="3780" w:type="dxa"/>
          </w:tcPr>
          <w:p w14:paraId="2C67F8A3" w14:textId="77777777" w:rsidR="0003556C" w:rsidRDefault="0003556C" w:rsidP="00331B75">
            <w:pPr>
              <w:rPr>
                <w:b/>
                <w:bCs/>
              </w:rPr>
            </w:pPr>
            <w:r>
              <w:rPr>
                <w:b/>
                <w:bCs/>
              </w:rPr>
              <w:t>Market Share from Data</w:t>
            </w:r>
          </w:p>
          <w:p w14:paraId="2BBA425C" w14:textId="77777777" w:rsidR="0003556C" w:rsidRDefault="0003556C" w:rsidP="00331B75">
            <w:pPr>
              <w:rPr>
                <w:b/>
                <w:bCs/>
              </w:rPr>
            </w:pPr>
            <w:r>
              <w:rPr>
                <w:b/>
                <w:bCs/>
              </w:rPr>
              <w:t>(from year 2000)</w:t>
            </w:r>
          </w:p>
        </w:tc>
        <w:tc>
          <w:tcPr>
            <w:tcW w:w="1980" w:type="dxa"/>
          </w:tcPr>
          <w:p w14:paraId="23907F4B" w14:textId="77777777" w:rsidR="0003556C" w:rsidRDefault="0003556C" w:rsidP="00331B75">
            <w:pPr>
              <w:rPr>
                <w:b/>
                <w:bCs/>
              </w:rPr>
            </w:pPr>
            <w:r>
              <w:rPr>
                <w:b/>
                <w:bCs/>
              </w:rPr>
              <w:t>SuperDecisions Results</w:t>
            </w:r>
          </w:p>
        </w:tc>
      </w:tr>
      <w:tr w:rsidR="0003556C" w14:paraId="32C29F59" w14:textId="77777777" w:rsidTr="00B01025">
        <w:tc>
          <w:tcPr>
            <w:tcW w:w="1548" w:type="dxa"/>
          </w:tcPr>
          <w:p w14:paraId="5C720936" w14:textId="77777777" w:rsidR="0003556C" w:rsidRDefault="0003556C" w:rsidP="00331B75">
            <w:r>
              <w:t>Hilton</w:t>
            </w:r>
          </w:p>
        </w:tc>
        <w:tc>
          <w:tcPr>
            <w:tcW w:w="3780" w:type="dxa"/>
          </w:tcPr>
          <w:p w14:paraId="1DD854E1" w14:textId="77777777" w:rsidR="0003556C" w:rsidRDefault="0003556C" w:rsidP="00331B75">
            <w:r>
              <w:t>24.19</w:t>
            </w:r>
          </w:p>
        </w:tc>
        <w:tc>
          <w:tcPr>
            <w:tcW w:w="1980" w:type="dxa"/>
          </w:tcPr>
          <w:p w14:paraId="0F3D03AC" w14:textId="77777777" w:rsidR="0003556C" w:rsidRDefault="0003556C" w:rsidP="00331B75">
            <w:r>
              <w:t>22.8</w:t>
            </w:r>
          </w:p>
        </w:tc>
      </w:tr>
      <w:tr w:rsidR="0003556C" w14:paraId="7BE40853" w14:textId="77777777" w:rsidTr="00B01025">
        <w:tc>
          <w:tcPr>
            <w:tcW w:w="1548" w:type="dxa"/>
          </w:tcPr>
          <w:p w14:paraId="6F67E635" w14:textId="77777777" w:rsidR="0003556C" w:rsidRDefault="0003556C" w:rsidP="00331B75">
            <w:r>
              <w:t>Marriot</w:t>
            </w:r>
          </w:p>
        </w:tc>
        <w:tc>
          <w:tcPr>
            <w:tcW w:w="3780" w:type="dxa"/>
          </w:tcPr>
          <w:p w14:paraId="7FF76707" w14:textId="77777777" w:rsidR="0003556C" w:rsidRDefault="0003556C" w:rsidP="00331B75">
            <w:r>
              <w:t>36.19</w:t>
            </w:r>
          </w:p>
        </w:tc>
        <w:tc>
          <w:tcPr>
            <w:tcW w:w="1980" w:type="dxa"/>
          </w:tcPr>
          <w:p w14:paraId="51386769" w14:textId="77777777" w:rsidR="0003556C" w:rsidRDefault="0003556C" w:rsidP="00331B75">
            <w:r>
              <w:t>36.0</w:t>
            </w:r>
          </w:p>
        </w:tc>
      </w:tr>
      <w:tr w:rsidR="0003556C" w14:paraId="48F3D277" w14:textId="77777777" w:rsidTr="00B01025">
        <w:tc>
          <w:tcPr>
            <w:tcW w:w="1548" w:type="dxa"/>
          </w:tcPr>
          <w:p w14:paraId="7620488B" w14:textId="77777777" w:rsidR="0003556C" w:rsidRDefault="0003556C" w:rsidP="00331B75">
            <w:r>
              <w:t>Holiday Inn</w:t>
            </w:r>
          </w:p>
        </w:tc>
        <w:tc>
          <w:tcPr>
            <w:tcW w:w="3780" w:type="dxa"/>
          </w:tcPr>
          <w:p w14:paraId="4F8BE804" w14:textId="77777777" w:rsidR="0003556C" w:rsidRDefault="0003556C" w:rsidP="00331B75">
            <w:r>
              <w:t>16.23</w:t>
            </w:r>
          </w:p>
        </w:tc>
        <w:tc>
          <w:tcPr>
            <w:tcW w:w="1980" w:type="dxa"/>
          </w:tcPr>
          <w:p w14:paraId="4550D478" w14:textId="77777777" w:rsidR="0003556C" w:rsidRDefault="0003556C" w:rsidP="00331B75">
            <w:r>
              <w:t>20.2</w:t>
            </w:r>
          </w:p>
        </w:tc>
      </w:tr>
      <w:tr w:rsidR="0003556C" w14:paraId="30D63E14" w14:textId="77777777" w:rsidTr="00B01025">
        <w:tc>
          <w:tcPr>
            <w:tcW w:w="1548" w:type="dxa"/>
          </w:tcPr>
          <w:p w14:paraId="4CDDF506" w14:textId="77777777" w:rsidR="0003556C" w:rsidRDefault="0003556C" w:rsidP="00331B75">
            <w:r>
              <w:t>Sheraton</w:t>
            </w:r>
          </w:p>
        </w:tc>
        <w:tc>
          <w:tcPr>
            <w:tcW w:w="3780" w:type="dxa"/>
          </w:tcPr>
          <w:p w14:paraId="7A0DC031" w14:textId="77777777" w:rsidR="0003556C" w:rsidRDefault="0003556C" w:rsidP="00331B75">
            <w:r>
              <w:t>23.39</w:t>
            </w:r>
          </w:p>
        </w:tc>
        <w:tc>
          <w:tcPr>
            <w:tcW w:w="1980" w:type="dxa"/>
          </w:tcPr>
          <w:p w14:paraId="7C930FE8" w14:textId="77777777" w:rsidR="0003556C" w:rsidRDefault="0003556C" w:rsidP="00331B75">
            <w:r>
              <w:t>21.0</w:t>
            </w:r>
          </w:p>
        </w:tc>
      </w:tr>
    </w:tbl>
    <w:p w14:paraId="2618566A" w14:textId="77777777" w:rsidR="0003556C" w:rsidRDefault="0003556C" w:rsidP="0003556C">
      <w:r>
        <w:rPr>
          <w:b/>
          <w:bCs/>
        </w:rPr>
        <w:t>Compatibility Index: 1.015726</w:t>
      </w:r>
    </w:p>
    <w:tbl>
      <w:tblPr>
        <w:tblW w:w="960" w:type="dxa"/>
        <w:tblCellMar>
          <w:left w:w="0" w:type="dxa"/>
          <w:right w:w="0" w:type="dxa"/>
        </w:tblCellMar>
        <w:tblLook w:val="0000" w:firstRow="0" w:lastRow="0" w:firstColumn="0" w:lastColumn="0" w:noHBand="0" w:noVBand="0"/>
      </w:tblPr>
      <w:tblGrid>
        <w:gridCol w:w="960"/>
      </w:tblGrid>
      <w:tr w:rsidR="0003556C" w14:paraId="007C39F1" w14:textId="77777777" w:rsidTr="00331B75">
        <w:trPr>
          <w:trHeight w:val="255"/>
        </w:trPr>
        <w:tc>
          <w:tcPr>
            <w:tcW w:w="960" w:type="dxa"/>
            <w:tcBorders>
              <w:top w:val="nil"/>
              <w:left w:val="nil"/>
              <w:bottom w:val="nil"/>
              <w:right w:val="nil"/>
            </w:tcBorders>
            <w:noWrap/>
            <w:tcMar>
              <w:top w:w="15" w:type="dxa"/>
              <w:left w:w="15" w:type="dxa"/>
              <w:bottom w:w="0" w:type="dxa"/>
              <w:right w:w="15" w:type="dxa"/>
            </w:tcMar>
            <w:vAlign w:val="bottom"/>
          </w:tcPr>
          <w:p w14:paraId="0EB7EF7C" w14:textId="77777777" w:rsidR="0003556C" w:rsidRDefault="0003556C" w:rsidP="00331B75">
            <w:pPr>
              <w:jc w:val="right"/>
              <w:rPr>
                <w:rFonts w:ascii="Arial" w:eastAsia="Arial Unicode MS" w:hAnsi="Arial" w:cs="Arial"/>
                <w:b/>
                <w:bCs/>
                <w:sz w:val="20"/>
                <w:szCs w:val="20"/>
              </w:rPr>
            </w:pPr>
          </w:p>
          <w:p w14:paraId="416B2CC2" w14:textId="77777777" w:rsidR="00B01025" w:rsidRDefault="00B01025" w:rsidP="00331B75">
            <w:pPr>
              <w:jc w:val="right"/>
              <w:rPr>
                <w:rFonts w:ascii="Arial" w:eastAsia="Arial Unicode MS" w:hAnsi="Arial" w:cs="Arial"/>
                <w:b/>
                <w:bCs/>
                <w:sz w:val="20"/>
                <w:szCs w:val="20"/>
              </w:rPr>
            </w:pPr>
          </w:p>
          <w:p w14:paraId="47A0D79B" w14:textId="77777777" w:rsidR="00B01025" w:rsidRDefault="00B01025" w:rsidP="00331B75">
            <w:pPr>
              <w:jc w:val="right"/>
              <w:rPr>
                <w:rFonts w:ascii="Arial" w:eastAsia="Arial Unicode MS" w:hAnsi="Arial" w:cs="Arial"/>
                <w:b/>
                <w:bCs/>
                <w:sz w:val="20"/>
                <w:szCs w:val="20"/>
              </w:rPr>
            </w:pPr>
          </w:p>
        </w:tc>
      </w:tr>
    </w:tbl>
    <w:p w14:paraId="38C783DB" w14:textId="77777777" w:rsidR="0003556C" w:rsidRDefault="0003556C" w:rsidP="0003556C">
      <w:pPr>
        <w:pStyle w:val="Heading2"/>
      </w:pPr>
      <w:r>
        <w:t>Relative Market Share of Internet Access Methods in South Korea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3956"/>
        <w:gridCol w:w="1980"/>
      </w:tblGrid>
      <w:tr w:rsidR="0003556C" w14:paraId="7B81BAE4" w14:textId="77777777" w:rsidTr="00B01025">
        <w:tc>
          <w:tcPr>
            <w:tcW w:w="1372" w:type="dxa"/>
          </w:tcPr>
          <w:p w14:paraId="591A2FF7" w14:textId="77777777" w:rsidR="0003556C" w:rsidRDefault="0003556C" w:rsidP="00331B75">
            <w:pPr>
              <w:rPr>
                <w:b/>
                <w:bCs/>
              </w:rPr>
            </w:pPr>
            <w:r>
              <w:rPr>
                <w:b/>
                <w:bCs/>
              </w:rPr>
              <w:t>Type of Access</w:t>
            </w:r>
          </w:p>
        </w:tc>
        <w:tc>
          <w:tcPr>
            <w:tcW w:w="3956" w:type="dxa"/>
          </w:tcPr>
          <w:p w14:paraId="5CAF0001" w14:textId="77777777" w:rsidR="0003556C" w:rsidRDefault="0003556C" w:rsidP="00331B75">
            <w:pPr>
              <w:rPr>
                <w:b/>
                <w:bCs/>
              </w:rPr>
            </w:pPr>
            <w:r>
              <w:rPr>
                <w:b/>
                <w:bCs/>
              </w:rPr>
              <w:t>Market Share from Data</w:t>
            </w:r>
          </w:p>
          <w:p w14:paraId="40A00812" w14:textId="77777777" w:rsidR="0003556C" w:rsidRDefault="0003556C" w:rsidP="00331B75">
            <w:r>
              <w:t>ttp://www.point-topic.com/cgi-bin/download.asp?file=</w:t>
            </w:r>
          </w:p>
          <w:p w14:paraId="56626EFB" w14:textId="77777777" w:rsidR="0003556C" w:rsidRDefault="0003556C" w:rsidP="00331B75">
            <w:proofErr w:type="spellStart"/>
            <w:r>
              <w:t>DSLAnalysis</w:t>
            </w:r>
            <w:proofErr w:type="spellEnd"/>
            <w:r>
              <w:t>\</w:t>
            </w:r>
            <w:proofErr w:type="spellStart"/>
            <w:r>
              <w:t>Broadband+market+could+saturate+at</w:t>
            </w:r>
            <w:proofErr w:type="spellEnd"/>
            <w:r>
              <w:t>+</w:t>
            </w:r>
          </w:p>
          <w:p w14:paraId="19488839" w14:textId="77777777" w:rsidR="0003556C" w:rsidRDefault="0003556C" w:rsidP="00331B75">
            <w:pPr>
              <w:rPr>
                <w:b/>
                <w:bCs/>
              </w:rPr>
            </w:pPr>
            <w:r>
              <w:t>about+60.htm</w:t>
            </w:r>
            <w:r>
              <w:rPr>
                <w:b/>
                <w:bCs/>
              </w:rPr>
              <w:t xml:space="preserve"> </w:t>
            </w:r>
          </w:p>
        </w:tc>
        <w:tc>
          <w:tcPr>
            <w:tcW w:w="1980" w:type="dxa"/>
          </w:tcPr>
          <w:p w14:paraId="0E9EC1E9" w14:textId="77777777" w:rsidR="0003556C" w:rsidRDefault="0003556C" w:rsidP="00331B75">
            <w:pPr>
              <w:rPr>
                <w:b/>
                <w:bCs/>
              </w:rPr>
            </w:pPr>
            <w:r>
              <w:rPr>
                <w:b/>
                <w:bCs/>
              </w:rPr>
              <w:t>SuperDecisions Results</w:t>
            </w:r>
          </w:p>
        </w:tc>
      </w:tr>
      <w:tr w:rsidR="0003556C" w14:paraId="5D4B6FCA" w14:textId="77777777" w:rsidTr="00B01025">
        <w:tc>
          <w:tcPr>
            <w:tcW w:w="1372" w:type="dxa"/>
          </w:tcPr>
          <w:p w14:paraId="3AEBC652" w14:textId="77777777" w:rsidR="0003556C" w:rsidRDefault="0003556C" w:rsidP="00331B75">
            <w:r>
              <w:t>DSL</w:t>
            </w:r>
          </w:p>
        </w:tc>
        <w:tc>
          <w:tcPr>
            <w:tcW w:w="3956" w:type="dxa"/>
          </w:tcPr>
          <w:p w14:paraId="02241D9F" w14:textId="77777777" w:rsidR="0003556C" w:rsidRDefault="0003556C" w:rsidP="00331B75">
            <w:r>
              <w:t>33.0</w:t>
            </w:r>
          </w:p>
        </w:tc>
        <w:tc>
          <w:tcPr>
            <w:tcW w:w="1980" w:type="dxa"/>
          </w:tcPr>
          <w:p w14:paraId="3E910A78" w14:textId="77777777" w:rsidR="0003556C" w:rsidRDefault="0003556C" w:rsidP="00331B75">
            <w:r>
              <w:t>31.5</w:t>
            </w:r>
          </w:p>
        </w:tc>
      </w:tr>
      <w:tr w:rsidR="0003556C" w14:paraId="05CCD7EF" w14:textId="77777777" w:rsidTr="00B01025">
        <w:tc>
          <w:tcPr>
            <w:tcW w:w="1372" w:type="dxa"/>
          </w:tcPr>
          <w:p w14:paraId="320C9331" w14:textId="77777777" w:rsidR="0003556C" w:rsidRDefault="0003556C" w:rsidP="00331B75">
            <w:r>
              <w:t>Cable</w:t>
            </w:r>
          </w:p>
        </w:tc>
        <w:tc>
          <w:tcPr>
            <w:tcW w:w="3956" w:type="dxa"/>
          </w:tcPr>
          <w:p w14:paraId="27778D7A" w14:textId="77777777" w:rsidR="0003556C" w:rsidRDefault="0003556C" w:rsidP="00331B75">
            <w:r>
              <w:t>21.0</w:t>
            </w:r>
          </w:p>
        </w:tc>
        <w:tc>
          <w:tcPr>
            <w:tcW w:w="1980" w:type="dxa"/>
          </w:tcPr>
          <w:p w14:paraId="307B5085" w14:textId="77777777" w:rsidR="0003556C" w:rsidRDefault="0003556C" w:rsidP="00331B75">
            <w:r>
              <w:t>26.6</w:t>
            </w:r>
          </w:p>
        </w:tc>
      </w:tr>
      <w:tr w:rsidR="0003556C" w14:paraId="0CA65940" w14:textId="77777777" w:rsidTr="00B01025">
        <w:tc>
          <w:tcPr>
            <w:tcW w:w="1372" w:type="dxa"/>
          </w:tcPr>
          <w:p w14:paraId="1E84A898" w14:textId="77777777" w:rsidR="0003556C" w:rsidRDefault="0003556C" w:rsidP="00331B75">
            <w:r>
              <w:t>Dial-up</w:t>
            </w:r>
          </w:p>
        </w:tc>
        <w:tc>
          <w:tcPr>
            <w:tcW w:w="3956" w:type="dxa"/>
          </w:tcPr>
          <w:p w14:paraId="62448E9B" w14:textId="77777777" w:rsidR="0003556C" w:rsidRDefault="0003556C" w:rsidP="00331B75">
            <w:r>
              <w:t>46.0</w:t>
            </w:r>
          </w:p>
        </w:tc>
        <w:tc>
          <w:tcPr>
            <w:tcW w:w="1980" w:type="dxa"/>
          </w:tcPr>
          <w:p w14:paraId="7B1FC3C5" w14:textId="77777777" w:rsidR="0003556C" w:rsidRDefault="0003556C" w:rsidP="00331B75">
            <w:r>
              <w:t>41.9</w:t>
            </w:r>
          </w:p>
        </w:tc>
      </w:tr>
    </w:tbl>
    <w:p w14:paraId="64BAA951" w14:textId="77777777" w:rsidR="0003556C" w:rsidRDefault="0003556C" w:rsidP="0003556C">
      <w:r>
        <w:rPr>
          <w:b/>
          <w:bCs/>
        </w:rPr>
        <w:t>Compatibility Index: 1.021387</w:t>
      </w:r>
    </w:p>
    <w:tbl>
      <w:tblPr>
        <w:tblW w:w="6725" w:type="dxa"/>
        <w:tblCellMar>
          <w:left w:w="0" w:type="dxa"/>
          <w:right w:w="0" w:type="dxa"/>
        </w:tblCellMar>
        <w:tblLook w:val="0000" w:firstRow="0" w:lastRow="0" w:firstColumn="0" w:lastColumn="0" w:noHBand="0" w:noVBand="0"/>
      </w:tblPr>
      <w:tblGrid>
        <w:gridCol w:w="7355"/>
      </w:tblGrid>
      <w:tr w:rsidR="0003556C" w14:paraId="0903F017" w14:textId="77777777" w:rsidTr="007E0746">
        <w:trPr>
          <w:trHeight w:val="300"/>
        </w:trPr>
        <w:tc>
          <w:tcPr>
            <w:tcW w:w="6725" w:type="dxa"/>
            <w:tcBorders>
              <w:top w:val="nil"/>
              <w:left w:val="nil"/>
              <w:bottom w:val="nil"/>
              <w:right w:val="nil"/>
            </w:tcBorders>
            <w:noWrap/>
            <w:tcMar>
              <w:top w:w="15" w:type="dxa"/>
              <w:left w:w="15" w:type="dxa"/>
              <w:bottom w:w="0" w:type="dxa"/>
              <w:right w:w="15" w:type="dxa"/>
            </w:tcMar>
            <w:vAlign w:val="bottom"/>
          </w:tcPr>
          <w:p w14:paraId="67FE63B0" w14:textId="77777777" w:rsidR="00026046" w:rsidRDefault="00026046" w:rsidP="00026046">
            <w:pPr>
              <w:pStyle w:val="Heading2"/>
            </w:pPr>
          </w:p>
          <w:p w14:paraId="254339EB" w14:textId="77777777" w:rsidR="00026046" w:rsidRDefault="00026046" w:rsidP="00026046">
            <w:pPr>
              <w:pStyle w:val="Heading2"/>
            </w:pPr>
            <w:r>
              <w:t>Estimating Relative Market Share for Soft Drink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0"/>
              <w:gridCol w:w="3509"/>
              <w:gridCol w:w="2066"/>
            </w:tblGrid>
            <w:tr w:rsidR="00026046" w14:paraId="636023D2" w14:textId="77777777" w:rsidTr="007E0746">
              <w:tc>
                <w:tcPr>
                  <w:tcW w:w="1740" w:type="dxa"/>
                </w:tcPr>
                <w:p w14:paraId="1F11C430" w14:textId="77777777" w:rsidR="00026046" w:rsidRDefault="00026046" w:rsidP="00331B75">
                  <w:pPr>
                    <w:rPr>
                      <w:b/>
                      <w:bCs/>
                    </w:rPr>
                  </w:pPr>
                  <w:r>
                    <w:rPr>
                      <w:b/>
                      <w:bCs/>
                    </w:rPr>
                    <w:t>Soft Drink Companies</w:t>
                  </w:r>
                </w:p>
              </w:tc>
              <w:tc>
                <w:tcPr>
                  <w:tcW w:w="3509" w:type="dxa"/>
                </w:tcPr>
                <w:p w14:paraId="07A03AC9" w14:textId="77777777" w:rsidR="00026046" w:rsidRDefault="00026046" w:rsidP="00331B75">
                  <w:pPr>
                    <w:rPr>
                      <w:b/>
                      <w:bCs/>
                    </w:rPr>
                  </w:pPr>
                  <w:r>
                    <w:rPr>
                      <w:b/>
                      <w:bCs/>
                    </w:rPr>
                    <w:t>Market Share from Data</w:t>
                  </w:r>
                </w:p>
                <w:p w14:paraId="28FBE03A" w14:textId="77777777" w:rsidR="00026046" w:rsidRDefault="00026046" w:rsidP="00331B75">
                  <w:pPr>
                    <w:rPr>
                      <w:b/>
                      <w:bCs/>
                    </w:rPr>
                  </w:pPr>
                  <w:r>
                    <w:t xml:space="preserve">(Beverage Digest 2001: </w:t>
                  </w:r>
                  <w:hyperlink r:id="rId6" w:history="1">
                    <w:r>
                      <w:rPr>
                        <w:rStyle w:val="Hyperlink"/>
                      </w:rPr>
                      <w:t>http://www.beverage-digest.com/editorial/020228s.php</w:t>
                    </w:r>
                  </w:hyperlink>
                  <w:r>
                    <w:t>)</w:t>
                  </w:r>
                </w:p>
              </w:tc>
              <w:tc>
                <w:tcPr>
                  <w:tcW w:w="2066" w:type="dxa"/>
                </w:tcPr>
                <w:p w14:paraId="61D5D52E" w14:textId="77777777" w:rsidR="00026046" w:rsidRDefault="00026046" w:rsidP="00331B75">
                  <w:pPr>
                    <w:rPr>
                      <w:b/>
                      <w:bCs/>
                    </w:rPr>
                  </w:pPr>
                  <w:r>
                    <w:rPr>
                      <w:b/>
                      <w:bCs/>
                    </w:rPr>
                    <w:t>SuperDecisions Results</w:t>
                  </w:r>
                </w:p>
              </w:tc>
            </w:tr>
            <w:tr w:rsidR="00026046" w14:paraId="58757F96" w14:textId="77777777" w:rsidTr="007E0746">
              <w:tc>
                <w:tcPr>
                  <w:tcW w:w="1740" w:type="dxa"/>
                </w:tcPr>
                <w:p w14:paraId="7A4B0E85" w14:textId="77777777" w:rsidR="00026046" w:rsidRDefault="00026046" w:rsidP="00331B75">
                  <w:r>
                    <w:t>Pepsi</w:t>
                  </w:r>
                </w:p>
              </w:tc>
              <w:tc>
                <w:tcPr>
                  <w:tcW w:w="3509" w:type="dxa"/>
                </w:tcPr>
                <w:p w14:paraId="2C78FF5A" w14:textId="77777777" w:rsidR="00026046" w:rsidRDefault="00026046" w:rsidP="00331B75">
                  <w:r>
                    <w:t>35.0</w:t>
                  </w:r>
                </w:p>
              </w:tc>
              <w:tc>
                <w:tcPr>
                  <w:tcW w:w="2066" w:type="dxa"/>
                </w:tcPr>
                <w:p w14:paraId="38E8DD10" w14:textId="77777777" w:rsidR="00026046" w:rsidRDefault="00026046" w:rsidP="00331B75">
                  <w:r>
                    <w:t>39.4</w:t>
                  </w:r>
                </w:p>
              </w:tc>
            </w:tr>
            <w:tr w:rsidR="00026046" w14:paraId="109E4464" w14:textId="77777777" w:rsidTr="007E0746">
              <w:tc>
                <w:tcPr>
                  <w:tcW w:w="1740" w:type="dxa"/>
                </w:tcPr>
                <w:p w14:paraId="2EAC6FFD" w14:textId="77777777" w:rsidR="00026046" w:rsidRDefault="00026046" w:rsidP="00331B75">
                  <w:r>
                    <w:t>Coke</w:t>
                  </w:r>
                </w:p>
              </w:tc>
              <w:tc>
                <w:tcPr>
                  <w:tcW w:w="3509" w:type="dxa"/>
                </w:tcPr>
                <w:p w14:paraId="2851163A" w14:textId="77777777" w:rsidR="00026046" w:rsidRDefault="00026046" w:rsidP="00331B75">
                  <w:r>
                    <w:t>48.0</w:t>
                  </w:r>
                </w:p>
              </w:tc>
              <w:tc>
                <w:tcPr>
                  <w:tcW w:w="2066" w:type="dxa"/>
                </w:tcPr>
                <w:p w14:paraId="49CE7654" w14:textId="77777777" w:rsidR="00026046" w:rsidRDefault="00026046" w:rsidP="00331B75">
                  <w:r>
                    <w:t>47.2</w:t>
                  </w:r>
                </w:p>
              </w:tc>
            </w:tr>
            <w:tr w:rsidR="00026046" w14:paraId="7268FFE9" w14:textId="77777777" w:rsidTr="007E0746">
              <w:tc>
                <w:tcPr>
                  <w:tcW w:w="1740" w:type="dxa"/>
                </w:tcPr>
                <w:p w14:paraId="22B27BEF" w14:textId="77777777" w:rsidR="00026046" w:rsidRDefault="00026046" w:rsidP="00331B75">
                  <w:r>
                    <w:t>Dr. Pepper</w:t>
                  </w:r>
                </w:p>
              </w:tc>
              <w:tc>
                <w:tcPr>
                  <w:tcW w:w="3509" w:type="dxa"/>
                </w:tcPr>
                <w:p w14:paraId="34493DDE" w14:textId="77777777" w:rsidR="00026046" w:rsidRDefault="00026046" w:rsidP="00331B75">
                  <w:r>
                    <w:t>17.0</w:t>
                  </w:r>
                </w:p>
              </w:tc>
              <w:tc>
                <w:tcPr>
                  <w:tcW w:w="2066" w:type="dxa"/>
                </w:tcPr>
                <w:p w14:paraId="78D73068" w14:textId="77777777" w:rsidR="00026046" w:rsidRDefault="00026046" w:rsidP="00331B75">
                  <w:r>
                    <w:t>13.3</w:t>
                  </w:r>
                </w:p>
              </w:tc>
            </w:tr>
          </w:tbl>
          <w:p w14:paraId="412E90D8" w14:textId="77777777" w:rsidR="00026046" w:rsidRDefault="00026046" w:rsidP="00026046">
            <w:r>
              <w:rPr>
                <w:b/>
                <w:bCs/>
              </w:rPr>
              <w:t>Compatibility Index: 1.022743</w:t>
            </w:r>
          </w:p>
          <w:tbl>
            <w:tblPr>
              <w:tblW w:w="960" w:type="dxa"/>
              <w:tblCellMar>
                <w:left w:w="0" w:type="dxa"/>
                <w:right w:w="0" w:type="dxa"/>
              </w:tblCellMar>
              <w:tblLook w:val="0000" w:firstRow="0" w:lastRow="0" w:firstColumn="0" w:lastColumn="0" w:noHBand="0" w:noVBand="0"/>
            </w:tblPr>
            <w:tblGrid>
              <w:gridCol w:w="7325"/>
            </w:tblGrid>
            <w:tr w:rsidR="00026046" w14:paraId="6A1E1585" w14:textId="77777777" w:rsidTr="00331B75">
              <w:trPr>
                <w:trHeight w:val="300"/>
              </w:trPr>
              <w:tc>
                <w:tcPr>
                  <w:tcW w:w="960" w:type="dxa"/>
                  <w:tcBorders>
                    <w:top w:val="nil"/>
                    <w:left w:val="nil"/>
                    <w:bottom w:val="nil"/>
                    <w:right w:val="nil"/>
                  </w:tcBorders>
                  <w:noWrap/>
                  <w:tcMar>
                    <w:top w:w="15" w:type="dxa"/>
                    <w:left w:w="15" w:type="dxa"/>
                    <w:bottom w:w="0" w:type="dxa"/>
                    <w:right w:w="15" w:type="dxa"/>
                  </w:tcMar>
                  <w:vAlign w:val="bottom"/>
                </w:tcPr>
                <w:p w14:paraId="32778A68" w14:textId="77777777" w:rsidR="00B56D19" w:rsidRDefault="00B56D19" w:rsidP="00331B75">
                  <w:pPr>
                    <w:jc w:val="right"/>
                    <w:rPr>
                      <w:rFonts w:ascii="Arial" w:eastAsia="Arial Unicode MS" w:hAnsi="Arial" w:cs="Arial"/>
                      <w:b/>
                      <w:bCs/>
                      <w:sz w:val="20"/>
                      <w:szCs w:val="20"/>
                    </w:rPr>
                  </w:pPr>
                </w:p>
                <w:p w14:paraId="2F058CC0" w14:textId="77777777" w:rsidR="00B01025" w:rsidRDefault="00B01025" w:rsidP="00331B75">
                  <w:pPr>
                    <w:jc w:val="right"/>
                    <w:rPr>
                      <w:rFonts w:ascii="Arial" w:eastAsia="Arial Unicode MS" w:hAnsi="Arial" w:cs="Arial"/>
                      <w:b/>
                      <w:bCs/>
                      <w:sz w:val="20"/>
                      <w:szCs w:val="20"/>
                    </w:rPr>
                  </w:pPr>
                </w:p>
                <w:p w14:paraId="02F57AD8" w14:textId="77777777" w:rsidR="00B56D19" w:rsidRDefault="00B56D19" w:rsidP="00B56D19">
                  <w:pPr>
                    <w:pStyle w:val="Heading2"/>
                  </w:pPr>
                  <w:r>
                    <w:t>Estimate Share of Market held by Four Major Car Rental Companies</w:t>
                  </w:r>
                </w:p>
                <w:tbl>
                  <w:tblPr>
                    <w:tblW w:w="7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3600"/>
                    <w:gridCol w:w="1980"/>
                  </w:tblGrid>
                  <w:tr w:rsidR="00B56D19" w14:paraId="2376A32B" w14:textId="77777777" w:rsidTr="00B01025">
                    <w:tc>
                      <w:tcPr>
                        <w:tcW w:w="1690" w:type="dxa"/>
                      </w:tcPr>
                      <w:p w14:paraId="1E7662D3" w14:textId="77777777" w:rsidR="00B56D19" w:rsidRDefault="00B56D19" w:rsidP="00331B75">
                        <w:pPr>
                          <w:rPr>
                            <w:b/>
                            <w:bCs/>
                          </w:rPr>
                        </w:pPr>
                        <w:r>
                          <w:rPr>
                            <w:b/>
                            <w:bCs/>
                          </w:rPr>
                          <w:t>Rental Car Market Share</w:t>
                        </w:r>
                      </w:p>
                    </w:tc>
                    <w:tc>
                      <w:tcPr>
                        <w:tcW w:w="3600" w:type="dxa"/>
                      </w:tcPr>
                      <w:p w14:paraId="3EB9EE87" w14:textId="77777777" w:rsidR="00B56D19" w:rsidRDefault="00B56D19" w:rsidP="00331B75">
                        <w:pPr>
                          <w:rPr>
                            <w:b/>
                            <w:bCs/>
                          </w:rPr>
                        </w:pPr>
                        <w:r>
                          <w:rPr>
                            <w:b/>
                            <w:bCs/>
                          </w:rPr>
                          <w:t>Market Share from Data</w:t>
                        </w:r>
                      </w:p>
                      <w:p w14:paraId="7E009285" w14:textId="77777777" w:rsidR="00B56D19" w:rsidRDefault="00B56D19" w:rsidP="00331B75">
                        <w:pPr>
                          <w:rPr>
                            <w:b/>
                            <w:bCs/>
                          </w:rPr>
                        </w:pPr>
                        <w:r>
                          <w:rPr>
                            <w:b/>
                            <w:bCs/>
                          </w:rPr>
                          <w:t>(Most Recent Available in 9/2002)</w:t>
                        </w:r>
                      </w:p>
                    </w:tc>
                    <w:tc>
                      <w:tcPr>
                        <w:tcW w:w="1980" w:type="dxa"/>
                      </w:tcPr>
                      <w:p w14:paraId="77020494" w14:textId="77777777" w:rsidR="00B56D19" w:rsidRDefault="00B56D19" w:rsidP="00331B75">
                        <w:pPr>
                          <w:rPr>
                            <w:b/>
                            <w:bCs/>
                          </w:rPr>
                        </w:pPr>
                        <w:r>
                          <w:rPr>
                            <w:b/>
                            <w:bCs/>
                          </w:rPr>
                          <w:t>SuperDecisions Results</w:t>
                        </w:r>
                      </w:p>
                    </w:tc>
                  </w:tr>
                  <w:tr w:rsidR="00B56D19" w14:paraId="37B31846" w14:textId="77777777" w:rsidTr="00B01025">
                    <w:tc>
                      <w:tcPr>
                        <w:tcW w:w="1690" w:type="dxa"/>
                      </w:tcPr>
                      <w:p w14:paraId="195E76C6" w14:textId="77777777" w:rsidR="00B56D19" w:rsidRDefault="00B56D19" w:rsidP="00331B75">
                        <w:r>
                          <w:t>Avis</w:t>
                        </w:r>
                      </w:p>
                    </w:tc>
                    <w:tc>
                      <w:tcPr>
                        <w:tcW w:w="3600" w:type="dxa"/>
                      </w:tcPr>
                      <w:p w14:paraId="57FF4EB6" w14:textId="77777777" w:rsidR="00B56D19" w:rsidRDefault="00B56D19" w:rsidP="00331B75">
                        <w:r>
                          <w:t>12.8</w:t>
                        </w:r>
                      </w:p>
                    </w:tc>
                    <w:tc>
                      <w:tcPr>
                        <w:tcW w:w="1980" w:type="dxa"/>
                      </w:tcPr>
                      <w:p w14:paraId="787B9293" w14:textId="77777777" w:rsidR="00B56D19" w:rsidRDefault="00B56D19" w:rsidP="00331B75">
                        <w:r>
                          <w:t>16.1</w:t>
                        </w:r>
                      </w:p>
                    </w:tc>
                  </w:tr>
                  <w:tr w:rsidR="00B56D19" w14:paraId="7C6BAAD2" w14:textId="77777777" w:rsidTr="00B01025">
                    <w:tc>
                      <w:tcPr>
                        <w:tcW w:w="1690" w:type="dxa"/>
                      </w:tcPr>
                      <w:p w14:paraId="6CB70D78" w14:textId="77777777" w:rsidR="00B56D19" w:rsidRDefault="00B56D19" w:rsidP="00331B75">
                        <w:r>
                          <w:t>Budget</w:t>
                        </w:r>
                      </w:p>
                    </w:tc>
                    <w:tc>
                      <w:tcPr>
                        <w:tcW w:w="3600" w:type="dxa"/>
                      </w:tcPr>
                      <w:p w14:paraId="458C9ED8" w14:textId="77777777" w:rsidR="00B56D19" w:rsidRDefault="00B56D19" w:rsidP="00331B75">
                        <w:r>
                          <w:t>17.1</w:t>
                        </w:r>
                      </w:p>
                    </w:tc>
                    <w:tc>
                      <w:tcPr>
                        <w:tcW w:w="1980" w:type="dxa"/>
                      </w:tcPr>
                      <w:p w14:paraId="3EB68DD3" w14:textId="77777777" w:rsidR="00B56D19" w:rsidRDefault="00B56D19" w:rsidP="00331B75">
                        <w:r>
                          <w:t>15.3</w:t>
                        </w:r>
                      </w:p>
                    </w:tc>
                  </w:tr>
                  <w:tr w:rsidR="00B56D19" w14:paraId="67C5729D" w14:textId="77777777" w:rsidTr="00B01025">
                    <w:tc>
                      <w:tcPr>
                        <w:tcW w:w="1690" w:type="dxa"/>
                      </w:tcPr>
                      <w:p w14:paraId="49852BF4" w14:textId="77777777" w:rsidR="00B56D19" w:rsidRDefault="00B56D19" w:rsidP="00331B75">
                        <w:r>
                          <w:t>Enterprise</w:t>
                        </w:r>
                      </w:p>
                    </w:tc>
                    <w:tc>
                      <w:tcPr>
                        <w:tcW w:w="3600" w:type="dxa"/>
                      </w:tcPr>
                      <w:p w14:paraId="14F41E9D" w14:textId="77777777" w:rsidR="00B56D19" w:rsidRDefault="00B56D19" w:rsidP="00331B75">
                        <w:r>
                          <w:t>40.7</w:t>
                        </w:r>
                      </w:p>
                    </w:tc>
                    <w:tc>
                      <w:tcPr>
                        <w:tcW w:w="1980" w:type="dxa"/>
                      </w:tcPr>
                      <w:p w14:paraId="744720E2" w14:textId="77777777" w:rsidR="00B56D19" w:rsidRDefault="00B56D19" w:rsidP="00331B75">
                        <w:r>
                          <w:t>43.2</w:t>
                        </w:r>
                      </w:p>
                    </w:tc>
                  </w:tr>
                  <w:tr w:rsidR="00B56D19" w14:paraId="086AE105" w14:textId="77777777" w:rsidTr="00B01025">
                    <w:tc>
                      <w:tcPr>
                        <w:tcW w:w="1690" w:type="dxa"/>
                      </w:tcPr>
                      <w:p w14:paraId="1CCADC43" w14:textId="77777777" w:rsidR="00B56D19" w:rsidRDefault="00B56D19" w:rsidP="00331B75">
                        <w:r>
                          <w:t>Hertz</w:t>
                        </w:r>
                      </w:p>
                    </w:tc>
                    <w:tc>
                      <w:tcPr>
                        <w:tcW w:w="3600" w:type="dxa"/>
                      </w:tcPr>
                      <w:p w14:paraId="2D70A70B" w14:textId="77777777" w:rsidR="00B56D19" w:rsidRDefault="00B56D19" w:rsidP="00331B75">
                        <w:r>
                          <w:t>29.5</w:t>
                        </w:r>
                      </w:p>
                    </w:tc>
                    <w:tc>
                      <w:tcPr>
                        <w:tcW w:w="1980" w:type="dxa"/>
                      </w:tcPr>
                      <w:p w14:paraId="55C52D62" w14:textId="77777777" w:rsidR="00B56D19" w:rsidRDefault="00B56D19" w:rsidP="00331B75">
                        <w:r>
                          <w:t>25.4</w:t>
                        </w:r>
                      </w:p>
                    </w:tc>
                  </w:tr>
                </w:tbl>
                <w:p w14:paraId="07473D2F" w14:textId="77777777" w:rsidR="00B56D19" w:rsidRDefault="00B56D19" w:rsidP="00B56D19">
                  <w:r>
                    <w:rPr>
                      <w:b/>
                      <w:bCs/>
                    </w:rPr>
                    <w:t>Compatibility Index: 1.02288</w:t>
                  </w:r>
                </w:p>
                <w:tbl>
                  <w:tblPr>
                    <w:tblW w:w="960" w:type="dxa"/>
                    <w:tblCellMar>
                      <w:left w:w="0" w:type="dxa"/>
                      <w:right w:w="0" w:type="dxa"/>
                    </w:tblCellMar>
                    <w:tblLook w:val="0000" w:firstRow="0" w:lastRow="0" w:firstColumn="0" w:lastColumn="0" w:noHBand="0" w:noVBand="0"/>
                  </w:tblPr>
                  <w:tblGrid>
                    <w:gridCol w:w="7295"/>
                  </w:tblGrid>
                  <w:tr w:rsidR="00B56D19" w14:paraId="7D33FF31" w14:textId="77777777" w:rsidTr="00331B75">
                    <w:trPr>
                      <w:trHeight w:val="255"/>
                    </w:trPr>
                    <w:tc>
                      <w:tcPr>
                        <w:tcW w:w="960" w:type="dxa"/>
                        <w:tcBorders>
                          <w:top w:val="nil"/>
                          <w:left w:val="nil"/>
                          <w:bottom w:val="nil"/>
                          <w:right w:val="nil"/>
                        </w:tcBorders>
                        <w:noWrap/>
                        <w:tcMar>
                          <w:top w:w="15" w:type="dxa"/>
                          <w:left w:w="15" w:type="dxa"/>
                          <w:bottom w:w="0" w:type="dxa"/>
                          <w:right w:w="15" w:type="dxa"/>
                        </w:tcMar>
                        <w:vAlign w:val="bottom"/>
                      </w:tcPr>
                      <w:p w14:paraId="5302E8AC" w14:textId="77777777" w:rsidR="00B56D19" w:rsidRDefault="00B56D19" w:rsidP="00331B75">
                        <w:pPr>
                          <w:jc w:val="right"/>
                          <w:rPr>
                            <w:rFonts w:ascii="Arial" w:eastAsia="Arial Unicode MS" w:hAnsi="Arial" w:cs="Arial"/>
                            <w:b/>
                            <w:bCs/>
                            <w:sz w:val="20"/>
                            <w:szCs w:val="20"/>
                          </w:rPr>
                        </w:pPr>
                      </w:p>
                      <w:p w14:paraId="31A4FBF5" w14:textId="77777777" w:rsidR="00B56D19" w:rsidRDefault="00B56D19" w:rsidP="00331B75">
                        <w:pPr>
                          <w:jc w:val="right"/>
                          <w:rPr>
                            <w:rFonts w:ascii="Arial" w:eastAsia="Arial Unicode MS" w:hAnsi="Arial" w:cs="Arial"/>
                            <w:b/>
                            <w:bCs/>
                            <w:sz w:val="20"/>
                            <w:szCs w:val="20"/>
                          </w:rPr>
                        </w:pPr>
                      </w:p>
                      <w:p w14:paraId="2162A7F1" w14:textId="77777777" w:rsidR="00B56D19" w:rsidRDefault="00B56D19" w:rsidP="00B56D19">
                        <w:pPr>
                          <w:pStyle w:val="Heading2"/>
                        </w:pPr>
                        <w:r>
                          <w:t>Estimating Market Share of Four Major Pizza Chains</w:t>
                        </w:r>
                      </w:p>
                      <w:tbl>
                        <w:tblPr>
                          <w:tblW w:w="7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5"/>
                          <w:gridCol w:w="3600"/>
                          <w:gridCol w:w="1980"/>
                        </w:tblGrid>
                        <w:tr w:rsidR="00B56D19" w14:paraId="500CD0D1" w14:textId="77777777" w:rsidTr="000A4252">
                          <w:tc>
                            <w:tcPr>
                              <w:tcW w:w="1675" w:type="dxa"/>
                            </w:tcPr>
                            <w:p w14:paraId="60D19C65" w14:textId="77777777" w:rsidR="00B56D19" w:rsidRDefault="00B56D19" w:rsidP="00331B75">
                              <w:pPr>
                                <w:rPr>
                                  <w:b/>
                                  <w:bCs/>
                                </w:rPr>
                              </w:pPr>
                              <w:r>
                                <w:rPr>
                                  <w:b/>
                                  <w:bCs/>
                                </w:rPr>
                                <w:t>Pizza Chains</w:t>
                              </w:r>
                            </w:p>
                          </w:tc>
                          <w:tc>
                            <w:tcPr>
                              <w:tcW w:w="3600" w:type="dxa"/>
                            </w:tcPr>
                            <w:p w14:paraId="6469B258" w14:textId="77777777" w:rsidR="00B56D19" w:rsidRDefault="00B56D19" w:rsidP="00331B75">
                              <w:pPr>
                                <w:rPr>
                                  <w:b/>
                                  <w:bCs/>
                                </w:rPr>
                              </w:pPr>
                              <w:r>
                                <w:rPr>
                                  <w:b/>
                                  <w:bCs/>
                                </w:rPr>
                                <w:t>Market Share from Data</w:t>
                              </w:r>
                            </w:p>
                            <w:p w14:paraId="45EBCA23" w14:textId="77777777" w:rsidR="00B56D19" w:rsidRDefault="00B56D19" w:rsidP="00331B75">
                              <w:pPr>
                                <w:rPr>
                                  <w:b/>
                                  <w:bCs/>
                                </w:rPr>
                              </w:pPr>
                              <w:r>
                                <w:rPr>
                                  <w:b/>
                                  <w:bCs/>
                                </w:rPr>
                                <w:t>(US Business Reporter year 2000 link:</w:t>
                              </w:r>
                              <w:r>
                                <w:t xml:space="preserve"> </w:t>
                              </w:r>
                              <w:hyperlink r:id="rId7" w:history="1">
                                <w:r>
                                  <w:rPr>
                                    <w:rStyle w:val="Hyperlink"/>
                                  </w:rPr>
                                  <w:t>http://www.activemedia-guide.com/pizzarest_mrkt.htm</w:t>
                                </w:r>
                              </w:hyperlink>
                              <w:r>
                                <w:t>,</w:t>
                              </w:r>
                            </w:p>
                          </w:tc>
                          <w:tc>
                            <w:tcPr>
                              <w:tcW w:w="1980" w:type="dxa"/>
                            </w:tcPr>
                            <w:p w14:paraId="01B67756" w14:textId="77777777" w:rsidR="00B56D19" w:rsidRDefault="00B56D19" w:rsidP="00331B75">
                              <w:pPr>
                                <w:rPr>
                                  <w:b/>
                                  <w:bCs/>
                                </w:rPr>
                              </w:pPr>
                              <w:r>
                                <w:rPr>
                                  <w:b/>
                                  <w:bCs/>
                                </w:rPr>
                                <w:t>SuperDecisions Results</w:t>
                              </w:r>
                            </w:p>
                          </w:tc>
                        </w:tr>
                        <w:tr w:rsidR="00B56D19" w14:paraId="651371EC" w14:textId="77777777" w:rsidTr="000A4252">
                          <w:tc>
                            <w:tcPr>
                              <w:tcW w:w="1675" w:type="dxa"/>
                            </w:tcPr>
                            <w:p w14:paraId="16B3D313" w14:textId="77777777" w:rsidR="00B56D19" w:rsidRDefault="00B56D19" w:rsidP="00331B75">
                              <w:r>
                                <w:t>Dominos</w:t>
                              </w:r>
                            </w:p>
                          </w:tc>
                          <w:tc>
                            <w:tcPr>
                              <w:tcW w:w="3600" w:type="dxa"/>
                            </w:tcPr>
                            <w:p w14:paraId="0BB52EA9" w14:textId="77777777" w:rsidR="00B56D19" w:rsidRDefault="00B56D19" w:rsidP="00331B75">
                              <w:r>
                                <w:t>20.43</w:t>
                              </w:r>
                            </w:p>
                          </w:tc>
                          <w:tc>
                            <w:tcPr>
                              <w:tcW w:w="1980" w:type="dxa"/>
                            </w:tcPr>
                            <w:p w14:paraId="40CBCA0F" w14:textId="77777777" w:rsidR="00B56D19" w:rsidRDefault="00B56D19" w:rsidP="00331B75">
                              <w:r>
                                <w:t>27.98</w:t>
                              </w:r>
                            </w:p>
                          </w:tc>
                        </w:tr>
                        <w:tr w:rsidR="00B56D19" w14:paraId="3D8D92FD" w14:textId="77777777" w:rsidTr="000A4252">
                          <w:tc>
                            <w:tcPr>
                              <w:tcW w:w="1675" w:type="dxa"/>
                            </w:tcPr>
                            <w:p w14:paraId="360647B9" w14:textId="77777777" w:rsidR="00B56D19" w:rsidRDefault="00B56D19" w:rsidP="00331B75">
                              <w:r>
                                <w:t>Little Caesar</w:t>
                              </w:r>
                            </w:p>
                          </w:tc>
                          <w:tc>
                            <w:tcPr>
                              <w:tcW w:w="3600" w:type="dxa"/>
                            </w:tcPr>
                            <w:p w14:paraId="29FA47A5" w14:textId="77777777" w:rsidR="00B56D19" w:rsidRDefault="00B56D19" w:rsidP="00331B75">
                              <w:r>
                                <w:t>13.38</w:t>
                              </w:r>
                            </w:p>
                          </w:tc>
                          <w:tc>
                            <w:tcPr>
                              <w:tcW w:w="1980" w:type="dxa"/>
                            </w:tcPr>
                            <w:p w14:paraId="019B4AB4" w14:textId="77777777" w:rsidR="00B56D19" w:rsidRDefault="00B56D19" w:rsidP="00331B75">
                              <w:r>
                                <w:t>12.85</w:t>
                              </w:r>
                            </w:p>
                          </w:tc>
                        </w:tr>
                        <w:tr w:rsidR="00B56D19" w14:paraId="44C7B260" w14:textId="77777777" w:rsidTr="000A4252">
                          <w:tc>
                            <w:tcPr>
                              <w:tcW w:w="1675" w:type="dxa"/>
                            </w:tcPr>
                            <w:p w14:paraId="7B4CC535" w14:textId="77777777" w:rsidR="00B56D19" w:rsidRDefault="00B56D19" w:rsidP="00331B75">
                              <w:r>
                                <w:t>Papa Johns</w:t>
                              </w:r>
                            </w:p>
                          </w:tc>
                          <w:tc>
                            <w:tcPr>
                              <w:tcW w:w="3600" w:type="dxa"/>
                            </w:tcPr>
                            <w:p w14:paraId="4B366AA1" w14:textId="77777777" w:rsidR="00B56D19" w:rsidRDefault="00B56D19" w:rsidP="00331B75">
                              <w:r>
                                <w:t>9.4</w:t>
                              </w:r>
                            </w:p>
                          </w:tc>
                          <w:tc>
                            <w:tcPr>
                              <w:tcW w:w="1980" w:type="dxa"/>
                            </w:tcPr>
                            <w:p w14:paraId="01A57D61" w14:textId="77777777" w:rsidR="00B56D19" w:rsidRDefault="00B56D19" w:rsidP="00331B75">
                              <w:r>
                                <w:t>13.01</w:t>
                              </w:r>
                            </w:p>
                          </w:tc>
                        </w:tr>
                        <w:tr w:rsidR="00B56D19" w14:paraId="1DA2B0BC" w14:textId="77777777" w:rsidTr="000A4252">
                          <w:tc>
                            <w:tcPr>
                              <w:tcW w:w="1675" w:type="dxa"/>
                            </w:tcPr>
                            <w:p w14:paraId="3C12F94C" w14:textId="77777777" w:rsidR="00B56D19" w:rsidRDefault="00B56D19" w:rsidP="00331B75">
                              <w:r>
                                <w:t>Pizza Hut</w:t>
                              </w:r>
                            </w:p>
                          </w:tc>
                          <w:tc>
                            <w:tcPr>
                              <w:tcW w:w="3600" w:type="dxa"/>
                            </w:tcPr>
                            <w:p w14:paraId="3EF2B78B" w14:textId="77777777" w:rsidR="00B56D19" w:rsidRDefault="00B56D19" w:rsidP="00331B75">
                              <w:r>
                                <w:t>56.8</w:t>
                              </w:r>
                            </w:p>
                          </w:tc>
                          <w:tc>
                            <w:tcPr>
                              <w:tcW w:w="1980" w:type="dxa"/>
                            </w:tcPr>
                            <w:p w14:paraId="00782EA9" w14:textId="77777777" w:rsidR="00B56D19" w:rsidRDefault="00B56D19" w:rsidP="00331B75">
                              <w:r>
                                <w:t>46.14</w:t>
                              </w:r>
                            </w:p>
                          </w:tc>
                        </w:tr>
                      </w:tbl>
                      <w:p w14:paraId="0562DDA4" w14:textId="77777777" w:rsidR="00B56D19" w:rsidRDefault="00B56D19" w:rsidP="00B56D19">
                        <w:r>
                          <w:rPr>
                            <w:b/>
                            <w:bCs/>
                          </w:rPr>
                          <w:t>Compatibility Index: 1.053772</w:t>
                        </w:r>
                      </w:p>
                      <w:tbl>
                        <w:tblPr>
                          <w:tblW w:w="960" w:type="dxa"/>
                          <w:tblCellMar>
                            <w:left w:w="0" w:type="dxa"/>
                            <w:right w:w="0" w:type="dxa"/>
                          </w:tblCellMar>
                          <w:tblLook w:val="0000" w:firstRow="0" w:lastRow="0" w:firstColumn="0" w:lastColumn="0" w:noHBand="0" w:noVBand="0"/>
                        </w:tblPr>
                        <w:tblGrid>
                          <w:gridCol w:w="960"/>
                        </w:tblGrid>
                        <w:tr w:rsidR="00B56D19" w14:paraId="2CFE6E29" w14:textId="77777777" w:rsidTr="00331B75">
                          <w:trPr>
                            <w:trHeight w:val="255"/>
                          </w:trPr>
                          <w:tc>
                            <w:tcPr>
                              <w:tcW w:w="960" w:type="dxa"/>
                              <w:tcBorders>
                                <w:top w:val="nil"/>
                                <w:left w:val="nil"/>
                                <w:bottom w:val="nil"/>
                                <w:right w:val="nil"/>
                              </w:tcBorders>
                              <w:noWrap/>
                              <w:tcMar>
                                <w:top w:w="15" w:type="dxa"/>
                                <w:left w:w="15" w:type="dxa"/>
                                <w:bottom w:w="0" w:type="dxa"/>
                                <w:right w:w="15" w:type="dxa"/>
                              </w:tcMar>
                              <w:vAlign w:val="bottom"/>
                            </w:tcPr>
                            <w:p w14:paraId="3CDD842E" w14:textId="77777777" w:rsidR="00B56D19" w:rsidRDefault="00B56D19" w:rsidP="00331B75">
                              <w:pPr>
                                <w:jc w:val="right"/>
                                <w:rPr>
                                  <w:rFonts w:ascii="Arial" w:eastAsia="Arial Unicode MS" w:hAnsi="Arial" w:cs="Arial"/>
                                  <w:b/>
                                  <w:bCs/>
                                  <w:sz w:val="20"/>
                                  <w:szCs w:val="20"/>
                                </w:rPr>
                              </w:pPr>
                            </w:p>
                            <w:p w14:paraId="19249F42" w14:textId="77777777" w:rsidR="00B01025" w:rsidRDefault="00B01025" w:rsidP="00331B75">
                              <w:pPr>
                                <w:jc w:val="right"/>
                                <w:rPr>
                                  <w:rFonts w:ascii="Arial" w:eastAsia="Arial Unicode MS" w:hAnsi="Arial" w:cs="Arial"/>
                                  <w:b/>
                                  <w:bCs/>
                                  <w:sz w:val="20"/>
                                  <w:szCs w:val="20"/>
                                </w:rPr>
                              </w:pPr>
                            </w:p>
                          </w:tc>
                        </w:tr>
                      </w:tbl>
                      <w:p w14:paraId="37D4E3CD" w14:textId="77777777" w:rsidR="00B56D19" w:rsidRDefault="00B56D19" w:rsidP="00331B75">
                        <w:pPr>
                          <w:jc w:val="right"/>
                          <w:rPr>
                            <w:rFonts w:ascii="Arial" w:eastAsia="Arial Unicode MS" w:hAnsi="Arial" w:cs="Arial"/>
                            <w:b/>
                            <w:bCs/>
                            <w:sz w:val="20"/>
                            <w:szCs w:val="20"/>
                          </w:rPr>
                        </w:pPr>
                      </w:p>
                    </w:tc>
                  </w:tr>
                </w:tbl>
                <w:p w14:paraId="4ED20531" w14:textId="77777777" w:rsidR="00B56D19" w:rsidRDefault="00B56D19" w:rsidP="00331B75">
                  <w:pPr>
                    <w:jc w:val="right"/>
                    <w:rPr>
                      <w:rFonts w:ascii="Arial" w:eastAsia="Arial Unicode MS" w:hAnsi="Arial" w:cs="Arial"/>
                      <w:b/>
                      <w:bCs/>
                      <w:sz w:val="20"/>
                      <w:szCs w:val="20"/>
                    </w:rPr>
                  </w:pPr>
                </w:p>
              </w:tc>
            </w:tr>
          </w:tbl>
          <w:p w14:paraId="1F2C7EAA" w14:textId="77777777" w:rsidR="0003556C" w:rsidRDefault="0003556C" w:rsidP="00331B75">
            <w:pPr>
              <w:jc w:val="right"/>
              <w:rPr>
                <w:rFonts w:ascii="Arial" w:eastAsia="Arial Unicode MS" w:hAnsi="Arial" w:cs="Arial"/>
                <w:b/>
                <w:bCs/>
                <w:sz w:val="20"/>
                <w:szCs w:val="20"/>
              </w:rPr>
            </w:pPr>
          </w:p>
        </w:tc>
      </w:tr>
    </w:tbl>
    <w:p w14:paraId="771E5BE6" w14:textId="77777777" w:rsidR="007E0746" w:rsidRDefault="007E0746" w:rsidP="007E0746">
      <w:pPr>
        <w:pStyle w:val="Heading2"/>
      </w:pPr>
      <w:r>
        <w:t>Estimate Percentages of Vehicle Types owned by Households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790"/>
        <w:gridCol w:w="1980"/>
      </w:tblGrid>
      <w:tr w:rsidR="007E0746" w14:paraId="42E752D2" w14:textId="77777777" w:rsidTr="000A4252">
        <w:tc>
          <w:tcPr>
            <w:tcW w:w="2628" w:type="dxa"/>
          </w:tcPr>
          <w:p w14:paraId="62B87393" w14:textId="77777777" w:rsidR="007E0746" w:rsidRDefault="007E0746" w:rsidP="00331B75">
            <w:pPr>
              <w:rPr>
                <w:b/>
                <w:bCs/>
              </w:rPr>
            </w:pPr>
            <w:r>
              <w:rPr>
                <w:b/>
                <w:bCs/>
              </w:rPr>
              <w:t>Vehicle Type</w:t>
            </w:r>
          </w:p>
        </w:tc>
        <w:tc>
          <w:tcPr>
            <w:tcW w:w="2790" w:type="dxa"/>
          </w:tcPr>
          <w:p w14:paraId="5936B354" w14:textId="77777777" w:rsidR="007E0746" w:rsidRDefault="007E0746" w:rsidP="00331B75">
            <w:pPr>
              <w:rPr>
                <w:b/>
                <w:bCs/>
              </w:rPr>
            </w:pPr>
            <w:r>
              <w:rPr>
                <w:b/>
                <w:bCs/>
              </w:rPr>
              <w:t>Market Share from Data</w:t>
            </w:r>
          </w:p>
          <w:p w14:paraId="228A910F" w14:textId="77777777" w:rsidR="007E0746" w:rsidRDefault="007E0746" w:rsidP="00331B75">
            <w:pPr>
              <w:rPr>
                <w:b/>
                <w:bCs/>
              </w:rPr>
            </w:pPr>
            <w:r>
              <w:rPr>
                <w:b/>
                <w:bCs/>
              </w:rPr>
              <w:t>(US Dept of Trans 2000)</w:t>
            </w:r>
          </w:p>
        </w:tc>
        <w:tc>
          <w:tcPr>
            <w:tcW w:w="1980" w:type="dxa"/>
          </w:tcPr>
          <w:p w14:paraId="38EBA35F" w14:textId="77777777" w:rsidR="007E0746" w:rsidRDefault="007E0746" w:rsidP="00331B75">
            <w:pPr>
              <w:rPr>
                <w:b/>
                <w:bCs/>
              </w:rPr>
            </w:pPr>
            <w:r>
              <w:rPr>
                <w:b/>
                <w:bCs/>
              </w:rPr>
              <w:t>SuperDecisions Results</w:t>
            </w:r>
          </w:p>
        </w:tc>
      </w:tr>
      <w:tr w:rsidR="007E0746" w14:paraId="7B67151C" w14:textId="77777777" w:rsidTr="000A4252">
        <w:tc>
          <w:tcPr>
            <w:tcW w:w="2628" w:type="dxa"/>
          </w:tcPr>
          <w:p w14:paraId="3F611DED" w14:textId="77777777" w:rsidR="007E0746" w:rsidRDefault="007E0746" w:rsidP="00331B75">
            <w:r>
              <w:t>Automobiles</w:t>
            </w:r>
          </w:p>
        </w:tc>
        <w:tc>
          <w:tcPr>
            <w:tcW w:w="2790" w:type="dxa"/>
          </w:tcPr>
          <w:p w14:paraId="0BC5EC8F" w14:textId="77777777" w:rsidR="007E0746" w:rsidRDefault="007E0746" w:rsidP="00331B75">
            <w:r>
              <w:t>62.9</w:t>
            </w:r>
          </w:p>
        </w:tc>
        <w:tc>
          <w:tcPr>
            <w:tcW w:w="1980" w:type="dxa"/>
          </w:tcPr>
          <w:p w14:paraId="4310ED29" w14:textId="77777777" w:rsidR="007E0746" w:rsidRDefault="007E0746" w:rsidP="00331B75">
            <w:r>
              <w:t>54.6</w:t>
            </w:r>
          </w:p>
        </w:tc>
      </w:tr>
      <w:tr w:rsidR="007E0746" w14:paraId="55D44B28" w14:textId="77777777" w:rsidTr="000A4252">
        <w:tc>
          <w:tcPr>
            <w:tcW w:w="2628" w:type="dxa"/>
          </w:tcPr>
          <w:p w14:paraId="3CA1BD7F" w14:textId="77777777" w:rsidR="007E0746" w:rsidRDefault="007E0746" w:rsidP="00331B75">
            <w:r>
              <w:t>Sport Utility Vehicles</w:t>
            </w:r>
          </w:p>
        </w:tc>
        <w:tc>
          <w:tcPr>
            <w:tcW w:w="2790" w:type="dxa"/>
          </w:tcPr>
          <w:p w14:paraId="23EF8163" w14:textId="77777777" w:rsidR="007E0746" w:rsidRDefault="007E0746" w:rsidP="00331B75">
            <w:r>
              <w:t>18.6</w:t>
            </w:r>
          </w:p>
        </w:tc>
        <w:tc>
          <w:tcPr>
            <w:tcW w:w="1980" w:type="dxa"/>
          </w:tcPr>
          <w:p w14:paraId="36437B0C" w14:textId="77777777" w:rsidR="007E0746" w:rsidRDefault="007E0746" w:rsidP="00331B75">
            <w:r>
              <w:t>14.3</w:t>
            </w:r>
          </w:p>
        </w:tc>
      </w:tr>
      <w:tr w:rsidR="007E0746" w14:paraId="30A4A6E4" w14:textId="77777777" w:rsidTr="000A4252">
        <w:tc>
          <w:tcPr>
            <w:tcW w:w="2628" w:type="dxa"/>
          </w:tcPr>
          <w:p w14:paraId="4C542887" w14:textId="77777777" w:rsidR="007E0746" w:rsidRDefault="007E0746" w:rsidP="00331B75">
            <w:r>
              <w:t>Trucks</w:t>
            </w:r>
          </w:p>
        </w:tc>
        <w:tc>
          <w:tcPr>
            <w:tcW w:w="2790" w:type="dxa"/>
          </w:tcPr>
          <w:p w14:paraId="53A3AB91" w14:textId="77777777" w:rsidR="007E0746" w:rsidRDefault="007E0746" w:rsidP="00331B75">
            <w:r>
              <w:t>10.2</w:t>
            </w:r>
          </w:p>
        </w:tc>
        <w:tc>
          <w:tcPr>
            <w:tcW w:w="1980" w:type="dxa"/>
          </w:tcPr>
          <w:p w14:paraId="48F9C26D" w14:textId="77777777" w:rsidR="007E0746" w:rsidRDefault="007E0746" w:rsidP="00331B75">
            <w:r>
              <w:t>21.5</w:t>
            </w:r>
          </w:p>
        </w:tc>
      </w:tr>
      <w:tr w:rsidR="007E0746" w14:paraId="1B921898" w14:textId="77777777" w:rsidTr="000A4252">
        <w:tc>
          <w:tcPr>
            <w:tcW w:w="2628" w:type="dxa"/>
          </w:tcPr>
          <w:p w14:paraId="37A343C2" w14:textId="77777777" w:rsidR="007E0746" w:rsidRDefault="007E0746" w:rsidP="00331B75">
            <w:r>
              <w:t>Vans</w:t>
            </w:r>
          </w:p>
        </w:tc>
        <w:tc>
          <w:tcPr>
            <w:tcW w:w="2790" w:type="dxa"/>
          </w:tcPr>
          <w:p w14:paraId="0D6B3588" w14:textId="77777777" w:rsidR="007E0746" w:rsidRDefault="007E0746" w:rsidP="00331B75">
            <w:r>
              <w:t>8.2</w:t>
            </w:r>
          </w:p>
        </w:tc>
        <w:tc>
          <w:tcPr>
            <w:tcW w:w="1980" w:type="dxa"/>
          </w:tcPr>
          <w:p w14:paraId="64F163E4" w14:textId="77777777" w:rsidR="007E0746" w:rsidRDefault="007E0746" w:rsidP="00331B75">
            <w:r>
              <w:t>09.6</w:t>
            </w:r>
          </w:p>
        </w:tc>
      </w:tr>
    </w:tbl>
    <w:p w14:paraId="4EC62EDF" w14:textId="77777777" w:rsidR="007E0746" w:rsidRDefault="007E0746" w:rsidP="007E0746">
      <w:pPr>
        <w:rPr>
          <w:b/>
          <w:bCs/>
        </w:rPr>
      </w:pPr>
      <w:r>
        <w:rPr>
          <w:b/>
          <w:bCs/>
        </w:rPr>
        <w:t>Compatibility Index</w:t>
      </w:r>
      <w:r w:rsidR="00B01025">
        <w:rPr>
          <w:b/>
          <w:bCs/>
        </w:rPr>
        <w:t>: 1.161671</w:t>
      </w:r>
      <w:r>
        <w:rPr>
          <w:b/>
          <w:bCs/>
        </w:rPr>
        <w:t xml:space="preserve"> </w:t>
      </w:r>
    </w:p>
    <w:tbl>
      <w:tblPr>
        <w:tblW w:w="960" w:type="dxa"/>
        <w:tblCellMar>
          <w:left w:w="0" w:type="dxa"/>
          <w:right w:w="0" w:type="dxa"/>
        </w:tblCellMar>
        <w:tblLook w:val="0000" w:firstRow="0" w:lastRow="0" w:firstColumn="0" w:lastColumn="0" w:noHBand="0" w:noVBand="0"/>
      </w:tblPr>
      <w:tblGrid>
        <w:gridCol w:w="960"/>
      </w:tblGrid>
      <w:tr w:rsidR="007E0746" w14:paraId="57A6AC35" w14:textId="77777777" w:rsidTr="00331B75">
        <w:trPr>
          <w:trHeight w:val="255"/>
        </w:trPr>
        <w:tc>
          <w:tcPr>
            <w:tcW w:w="960" w:type="dxa"/>
            <w:tcBorders>
              <w:top w:val="nil"/>
              <w:left w:val="nil"/>
              <w:bottom w:val="nil"/>
              <w:right w:val="nil"/>
            </w:tcBorders>
            <w:noWrap/>
            <w:tcMar>
              <w:top w:w="15" w:type="dxa"/>
              <w:left w:w="15" w:type="dxa"/>
              <w:bottom w:w="0" w:type="dxa"/>
              <w:right w:w="15" w:type="dxa"/>
            </w:tcMar>
            <w:vAlign w:val="bottom"/>
          </w:tcPr>
          <w:p w14:paraId="24010EEF" w14:textId="77777777" w:rsidR="007E0746" w:rsidRDefault="007E0746" w:rsidP="00331B75">
            <w:pPr>
              <w:jc w:val="right"/>
              <w:rPr>
                <w:rFonts w:ascii="Arial" w:eastAsia="Arial Unicode MS" w:hAnsi="Arial" w:cs="Arial"/>
                <w:b/>
                <w:bCs/>
                <w:sz w:val="20"/>
                <w:szCs w:val="20"/>
              </w:rPr>
            </w:pPr>
          </w:p>
        </w:tc>
      </w:tr>
    </w:tbl>
    <w:p w14:paraId="30294EBD" w14:textId="77777777" w:rsidR="0003556C" w:rsidRPr="00933675" w:rsidRDefault="0003556C">
      <w:pPr>
        <w:rPr>
          <w:sz w:val="28"/>
          <w:szCs w:val="28"/>
        </w:rPr>
      </w:pPr>
    </w:p>
    <w:sectPr w:rsidR="0003556C" w:rsidRPr="009336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Arial Rounded MT Bold">
    <w:panose1 w:val="020F0704030504030204"/>
    <w:charset w:val="00"/>
    <w:family w:val="auto"/>
    <w:pitch w:val="variable"/>
    <w:sig w:usb0="00000003" w:usb1="00000000" w:usb2="00000000" w:usb3="00000000" w:csb0="00000001" w:csb1="00000000"/>
  </w:font>
  <w:font w:name="sans-serif">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619EB"/>
    <w:multiLevelType w:val="hybridMultilevel"/>
    <w:tmpl w:val="BC5CC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45B"/>
    <w:rsid w:val="00007C91"/>
    <w:rsid w:val="00026046"/>
    <w:rsid w:val="00030FFB"/>
    <w:rsid w:val="0003556C"/>
    <w:rsid w:val="000367AF"/>
    <w:rsid w:val="00042C24"/>
    <w:rsid w:val="00047B86"/>
    <w:rsid w:val="00064BD4"/>
    <w:rsid w:val="000802E1"/>
    <w:rsid w:val="00083F6F"/>
    <w:rsid w:val="000A045C"/>
    <w:rsid w:val="000A3248"/>
    <w:rsid w:val="000A4252"/>
    <w:rsid w:val="000B3359"/>
    <w:rsid w:val="000C39E0"/>
    <w:rsid w:val="000E0F81"/>
    <w:rsid w:val="001021D9"/>
    <w:rsid w:val="00105825"/>
    <w:rsid w:val="00112958"/>
    <w:rsid w:val="00121D97"/>
    <w:rsid w:val="00160505"/>
    <w:rsid w:val="00166699"/>
    <w:rsid w:val="0019752B"/>
    <w:rsid w:val="00197C3E"/>
    <w:rsid w:val="001A3E5E"/>
    <w:rsid w:val="001B21F6"/>
    <w:rsid w:val="001C151E"/>
    <w:rsid w:val="001D4333"/>
    <w:rsid w:val="00217741"/>
    <w:rsid w:val="00226CBE"/>
    <w:rsid w:val="00250CC6"/>
    <w:rsid w:val="0025446D"/>
    <w:rsid w:val="00257F94"/>
    <w:rsid w:val="00260F39"/>
    <w:rsid w:val="00286C13"/>
    <w:rsid w:val="00290593"/>
    <w:rsid w:val="00292BF9"/>
    <w:rsid w:val="002A4703"/>
    <w:rsid w:val="002B317E"/>
    <w:rsid w:val="002B32B3"/>
    <w:rsid w:val="002B7CCE"/>
    <w:rsid w:val="002D028E"/>
    <w:rsid w:val="002E6C8C"/>
    <w:rsid w:val="0030074F"/>
    <w:rsid w:val="0030629A"/>
    <w:rsid w:val="003076EE"/>
    <w:rsid w:val="00331B75"/>
    <w:rsid w:val="003428D8"/>
    <w:rsid w:val="00355DDE"/>
    <w:rsid w:val="00373F88"/>
    <w:rsid w:val="003749A7"/>
    <w:rsid w:val="00387FCD"/>
    <w:rsid w:val="003A6F1C"/>
    <w:rsid w:val="003B25D6"/>
    <w:rsid w:val="003B75F2"/>
    <w:rsid w:val="003C160C"/>
    <w:rsid w:val="003C3635"/>
    <w:rsid w:val="003D2990"/>
    <w:rsid w:val="003D33AD"/>
    <w:rsid w:val="003D3922"/>
    <w:rsid w:val="003D4184"/>
    <w:rsid w:val="003D65E3"/>
    <w:rsid w:val="003F4EF6"/>
    <w:rsid w:val="004247AA"/>
    <w:rsid w:val="00451581"/>
    <w:rsid w:val="00487825"/>
    <w:rsid w:val="00491C47"/>
    <w:rsid w:val="004C7EFA"/>
    <w:rsid w:val="004D70BD"/>
    <w:rsid w:val="004F5062"/>
    <w:rsid w:val="00510898"/>
    <w:rsid w:val="00516C36"/>
    <w:rsid w:val="005317A5"/>
    <w:rsid w:val="00534E5D"/>
    <w:rsid w:val="0056663E"/>
    <w:rsid w:val="005C2EE8"/>
    <w:rsid w:val="005C55B2"/>
    <w:rsid w:val="005E441F"/>
    <w:rsid w:val="005E61C5"/>
    <w:rsid w:val="006111B4"/>
    <w:rsid w:val="00611AC0"/>
    <w:rsid w:val="006249B8"/>
    <w:rsid w:val="0066785C"/>
    <w:rsid w:val="0069613A"/>
    <w:rsid w:val="00697371"/>
    <w:rsid w:val="006B2A35"/>
    <w:rsid w:val="006B6981"/>
    <w:rsid w:val="006C44B4"/>
    <w:rsid w:val="006E54F3"/>
    <w:rsid w:val="006F059C"/>
    <w:rsid w:val="00704F7E"/>
    <w:rsid w:val="00720494"/>
    <w:rsid w:val="00726C26"/>
    <w:rsid w:val="00734CC0"/>
    <w:rsid w:val="0075476B"/>
    <w:rsid w:val="007660BE"/>
    <w:rsid w:val="00773F73"/>
    <w:rsid w:val="00793A02"/>
    <w:rsid w:val="007E0746"/>
    <w:rsid w:val="007F2645"/>
    <w:rsid w:val="008128EF"/>
    <w:rsid w:val="00833545"/>
    <w:rsid w:val="00872369"/>
    <w:rsid w:val="008979AF"/>
    <w:rsid w:val="008A5A7B"/>
    <w:rsid w:val="008C017E"/>
    <w:rsid w:val="008C3F5B"/>
    <w:rsid w:val="008C5EA2"/>
    <w:rsid w:val="008C6509"/>
    <w:rsid w:val="008E78AC"/>
    <w:rsid w:val="0091636A"/>
    <w:rsid w:val="009243DF"/>
    <w:rsid w:val="00933675"/>
    <w:rsid w:val="009455B7"/>
    <w:rsid w:val="009511BE"/>
    <w:rsid w:val="0098558A"/>
    <w:rsid w:val="00987D7E"/>
    <w:rsid w:val="009A2326"/>
    <w:rsid w:val="009A36EE"/>
    <w:rsid w:val="009A55AD"/>
    <w:rsid w:val="009E745B"/>
    <w:rsid w:val="009F4A9B"/>
    <w:rsid w:val="00A0216B"/>
    <w:rsid w:val="00A3799D"/>
    <w:rsid w:val="00A65A23"/>
    <w:rsid w:val="00A8127B"/>
    <w:rsid w:val="00AA6379"/>
    <w:rsid w:val="00AA6A48"/>
    <w:rsid w:val="00AB056C"/>
    <w:rsid w:val="00AC5266"/>
    <w:rsid w:val="00AD159D"/>
    <w:rsid w:val="00AD18E6"/>
    <w:rsid w:val="00AE6B0F"/>
    <w:rsid w:val="00B01025"/>
    <w:rsid w:val="00B01A99"/>
    <w:rsid w:val="00B02592"/>
    <w:rsid w:val="00B10D6E"/>
    <w:rsid w:val="00B14EF3"/>
    <w:rsid w:val="00B16516"/>
    <w:rsid w:val="00B24D28"/>
    <w:rsid w:val="00B35A7F"/>
    <w:rsid w:val="00B56D19"/>
    <w:rsid w:val="00B62841"/>
    <w:rsid w:val="00B6285F"/>
    <w:rsid w:val="00B73B23"/>
    <w:rsid w:val="00B8185F"/>
    <w:rsid w:val="00B84979"/>
    <w:rsid w:val="00B84AC0"/>
    <w:rsid w:val="00B862C1"/>
    <w:rsid w:val="00BA0569"/>
    <w:rsid w:val="00BC5F6C"/>
    <w:rsid w:val="00BD1005"/>
    <w:rsid w:val="00C10D96"/>
    <w:rsid w:val="00C12AA6"/>
    <w:rsid w:val="00C5104A"/>
    <w:rsid w:val="00CB1893"/>
    <w:rsid w:val="00CD22C1"/>
    <w:rsid w:val="00D17F68"/>
    <w:rsid w:val="00D20926"/>
    <w:rsid w:val="00D255E3"/>
    <w:rsid w:val="00D34A15"/>
    <w:rsid w:val="00D44D84"/>
    <w:rsid w:val="00D8293E"/>
    <w:rsid w:val="00D9217C"/>
    <w:rsid w:val="00DA53D0"/>
    <w:rsid w:val="00DD07E5"/>
    <w:rsid w:val="00DD3401"/>
    <w:rsid w:val="00DF2CB7"/>
    <w:rsid w:val="00DF370A"/>
    <w:rsid w:val="00DF45D1"/>
    <w:rsid w:val="00E05B54"/>
    <w:rsid w:val="00E121D0"/>
    <w:rsid w:val="00E17DCE"/>
    <w:rsid w:val="00E40175"/>
    <w:rsid w:val="00E452F6"/>
    <w:rsid w:val="00E72E69"/>
    <w:rsid w:val="00E9488A"/>
    <w:rsid w:val="00E953CE"/>
    <w:rsid w:val="00E968E9"/>
    <w:rsid w:val="00EA3CB4"/>
    <w:rsid w:val="00ED0089"/>
    <w:rsid w:val="00EF4C9F"/>
    <w:rsid w:val="00F04B7A"/>
    <w:rsid w:val="00F12F7F"/>
    <w:rsid w:val="00F23715"/>
    <w:rsid w:val="00F308DB"/>
    <w:rsid w:val="00F44162"/>
    <w:rsid w:val="00F44295"/>
    <w:rsid w:val="00F571C3"/>
    <w:rsid w:val="00F6200D"/>
    <w:rsid w:val="00F70460"/>
    <w:rsid w:val="00F85F95"/>
    <w:rsid w:val="00FA293B"/>
    <w:rsid w:val="00FB270B"/>
    <w:rsid w:val="00FD36F7"/>
    <w:rsid w:val="00FF0D5B"/>
    <w:rsid w:val="00FF4FB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04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D3401"/>
    <w:pPr>
      <w:keepNext/>
      <w:outlineLvl w:val="0"/>
    </w:pPr>
    <w:rPr>
      <w:rFonts w:ascii="Book Antiqua" w:hAnsi="Book Antiqua"/>
      <w:b/>
      <w:bCs/>
      <w:caps/>
      <w:sz w:val="28"/>
      <w:szCs w:val="28"/>
    </w:rPr>
  </w:style>
  <w:style w:type="paragraph" w:styleId="Heading2">
    <w:name w:val="heading 2"/>
    <w:basedOn w:val="Normal"/>
    <w:next w:val="Normal"/>
    <w:qFormat/>
    <w:rsid w:val="00DD3401"/>
    <w:pPr>
      <w:keepNext/>
      <w:outlineLvl w:val="1"/>
    </w:pPr>
    <w:rPr>
      <w:rFonts w:ascii="Arial Rounded MT Bold" w:hAnsi="Arial Rounded MT Bold"/>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55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oy-tia.org/industry/statistics/topretailers.html" TargetMode="External"/><Relationship Id="rId6" Type="http://schemas.openxmlformats.org/officeDocument/2006/relationships/hyperlink" Target="http://www.beverage-digest.com/editorial/020228s.php" TargetMode="External"/><Relationship Id="rId7" Type="http://schemas.openxmlformats.org/officeDocument/2006/relationships/hyperlink" Target="http://www.activemedia-guide.com/pizzarest_mrkt.ht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3403</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Katz Graduate School of Business</Company>
  <LinksUpToDate>false</LinksUpToDate>
  <CharactersWithSpaces>3993</CharactersWithSpaces>
  <SharedDoc>false</SharedDoc>
  <HLinks>
    <vt:vector size="18" baseType="variant">
      <vt:variant>
        <vt:i4>6488130</vt:i4>
      </vt:variant>
      <vt:variant>
        <vt:i4>6</vt:i4>
      </vt:variant>
      <vt:variant>
        <vt:i4>0</vt:i4>
      </vt:variant>
      <vt:variant>
        <vt:i4>5</vt:i4>
      </vt:variant>
      <vt:variant>
        <vt:lpwstr>http://www.activemedia-guide.com/pizzarest_mrkt.htm</vt:lpwstr>
      </vt:variant>
      <vt:variant>
        <vt:lpwstr/>
      </vt:variant>
      <vt:variant>
        <vt:i4>5636120</vt:i4>
      </vt:variant>
      <vt:variant>
        <vt:i4>3</vt:i4>
      </vt:variant>
      <vt:variant>
        <vt:i4>0</vt:i4>
      </vt:variant>
      <vt:variant>
        <vt:i4>5</vt:i4>
      </vt:variant>
      <vt:variant>
        <vt:lpwstr>http://www.beverage-digest.com/editorial/020228s.php</vt:lpwstr>
      </vt:variant>
      <vt:variant>
        <vt:lpwstr/>
      </vt:variant>
      <vt:variant>
        <vt:i4>5832782</vt:i4>
      </vt:variant>
      <vt:variant>
        <vt:i4>0</vt:i4>
      </vt:variant>
      <vt:variant>
        <vt:i4>0</vt:i4>
      </vt:variant>
      <vt:variant>
        <vt:i4>5</vt:i4>
      </vt:variant>
      <vt:variant>
        <vt:lpwstr>http://www.toy-tia.org/industry/statistics/topretailers.html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SAATY</dc:creator>
  <cp:keywords/>
  <cp:lastModifiedBy>E R</cp:lastModifiedBy>
  <cp:revision>2</cp:revision>
  <dcterms:created xsi:type="dcterms:W3CDTF">2017-02-22T02:45:00Z</dcterms:created>
  <dcterms:modified xsi:type="dcterms:W3CDTF">2017-02-22T02:45:00Z</dcterms:modified>
</cp:coreProperties>
</file>