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42080" w14:textId="77777777" w:rsidR="00000000" w:rsidRDefault="0098655D">
      <w:bookmarkStart w:id="0" w:name="_GoBack"/>
      <w:bookmarkEnd w:id="0"/>
    </w:p>
    <w:p w14:paraId="6A7FA125" w14:textId="77777777" w:rsidR="00000000" w:rsidRDefault="0098655D"/>
    <w:p w14:paraId="3D55EFB1" w14:textId="77777777" w:rsidR="00000000" w:rsidRDefault="0098655D"/>
    <w:p w14:paraId="24D93EAE" w14:textId="77777777" w:rsidR="00000000" w:rsidRDefault="0098655D"/>
    <w:p w14:paraId="3D4669D6" w14:textId="77777777" w:rsidR="00000000" w:rsidRDefault="0098655D"/>
    <w:p w14:paraId="5156FB4D" w14:textId="77777777" w:rsidR="00000000" w:rsidRDefault="0098655D"/>
    <w:p w14:paraId="10F39A88" w14:textId="77777777" w:rsidR="00000000" w:rsidRDefault="0098655D"/>
    <w:p w14:paraId="6C7C19E9" w14:textId="77777777" w:rsidR="00000000" w:rsidRDefault="0098655D"/>
    <w:p w14:paraId="6FFAFCEC" w14:textId="77777777" w:rsidR="00000000" w:rsidRDefault="0098655D"/>
    <w:p w14:paraId="0AC5DE8D" w14:textId="77777777" w:rsidR="00000000" w:rsidRDefault="0098655D"/>
    <w:p w14:paraId="63F78197" w14:textId="77777777" w:rsidR="00000000" w:rsidRDefault="0098655D"/>
    <w:p w14:paraId="29336ACE" w14:textId="77777777" w:rsidR="00000000" w:rsidRDefault="0098655D"/>
    <w:p w14:paraId="3495185C" w14:textId="77777777" w:rsidR="00000000" w:rsidRDefault="0098655D">
      <w:pPr>
        <w:jc w:val="center"/>
        <w:rPr>
          <w:sz w:val="40"/>
          <w:szCs w:val="40"/>
        </w:rPr>
      </w:pPr>
      <w:r>
        <w:rPr>
          <w:sz w:val="40"/>
          <w:szCs w:val="40"/>
        </w:rPr>
        <w:t>AHP Super Decision Model</w:t>
      </w:r>
    </w:p>
    <w:p w14:paraId="56D44BC0" w14:textId="77777777" w:rsidR="00000000" w:rsidRDefault="0098655D">
      <w:pPr>
        <w:jc w:val="center"/>
        <w:rPr>
          <w:sz w:val="32"/>
          <w:szCs w:val="32"/>
        </w:rPr>
      </w:pPr>
    </w:p>
    <w:p w14:paraId="296AE5C9" w14:textId="77777777" w:rsidR="00000000" w:rsidRDefault="0098655D">
      <w:pPr>
        <w:jc w:val="center"/>
        <w:rPr>
          <w:sz w:val="32"/>
          <w:szCs w:val="32"/>
        </w:rPr>
      </w:pPr>
      <w:r>
        <w:rPr>
          <w:sz w:val="32"/>
          <w:szCs w:val="32"/>
        </w:rPr>
        <w:t>Pizza Shop U.S. Market share</w:t>
      </w:r>
    </w:p>
    <w:p w14:paraId="04FE0C1E" w14:textId="77777777" w:rsidR="00000000" w:rsidRDefault="0098655D">
      <w:pPr>
        <w:jc w:val="center"/>
        <w:rPr>
          <w:sz w:val="32"/>
          <w:szCs w:val="32"/>
        </w:rPr>
      </w:pPr>
    </w:p>
    <w:p w14:paraId="212381F0" w14:textId="77777777" w:rsidR="00000000" w:rsidRDefault="0098655D">
      <w:pPr>
        <w:jc w:val="center"/>
        <w:rPr>
          <w:sz w:val="32"/>
          <w:szCs w:val="32"/>
        </w:rPr>
      </w:pPr>
      <w:r>
        <w:rPr>
          <w:sz w:val="32"/>
          <w:szCs w:val="32"/>
        </w:rPr>
        <w:t>By:  Jason Shipley</w:t>
      </w:r>
    </w:p>
    <w:p w14:paraId="6A3CA003" w14:textId="77777777" w:rsidR="00000000" w:rsidRDefault="0098655D">
      <w:pPr>
        <w:jc w:val="center"/>
        <w:rPr>
          <w:sz w:val="32"/>
          <w:szCs w:val="32"/>
        </w:rPr>
      </w:pPr>
    </w:p>
    <w:p w14:paraId="32D38C66" w14:textId="77777777" w:rsidR="00000000" w:rsidRDefault="0098655D">
      <w:pPr>
        <w:jc w:val="center"/>
        <w:rPr>
          <w:sz w:val="32"/>
          <w:szCs w:val="32"/>
        </w:rPr>
      </w:pPr>
      <w:r>
        <w:rPr>
          <w:sz w:val="32"/>
          <w:szCs w:val="32"/>
        </w:rPr>
        <w:t>9/15/02</w:t>
      </w:r>
    </w:p>
    <w:p w14:paraId="78BE01D0" w14:textId="77777777" w:rsidR="00000000" w:rsidRDefault="0098655D"/>
    <w:p w14:paraId="2C5883D2" w14:textId="77777777" w:rsidR="00000000" w:rsidRDefault="0098655D"/>
    <w:p w14:paraId="5AC5E17C" w14:textId="77777777" w:rsidR="00000000" w:rsidRDefault="0098655D"/>
    <w:p w14:paraId="746835D9" w14:textId="77777777" w:rsidR="00000000" w:rsidRDefault="0098655D"/>
    <w:p w14:paraId="5CE6C3EF" w14:textId="77777777" w:rsidR="00000000" w:rsidRDefault="0098655D"/>
    <w:p w14:paraId="1BF79CA4" w14:textId="77777777" w:rsidR="00000000" w:rsidRDefault="0098655D"/>
    <w:p w14:paraId="0540F9E0" w14:textId="77777777" w:rsidR="00000000" w:rsidRDefault="0098655D"/>
    <w:p w14:paraId="28BEC5FE" w14:textId="77777777" w:rsidR="00000000" w:rsidRDefault="0098655D"/>
    <w:p w14:paraId="39BE5CEB" w14:textId="77777777" w:rsidR="00000000" w:rsidRDefault="0098655D"/>
    <w:p w14:paraId="56FF6D53" w14:textId="77777777" w:rsidR="00000000" w:rsidRDefault="0098655D"/>
    <w:p w14:paraId="2011EDB5" w14:textId="77777777" w:rsidR="00000000" w:rsidRDefault="0098655D"/>
    <w:p w14:paraId="6AD90973" w14:textId="77777777" w:rsidR="00000000" w:rsidRDefault="0098655D"/>
    <w:p w14:paraId="234C72AC" w14:textId="77777777" w:rsidR="00000000" w:rsidRDefault="0098655D"/>
    <w:p w14:paraId="46D7E78E" w14:textId="77777777" w:rsidR="00000000" w:rsidRDefault="0098655D"/>
    <w:p w14:paraId="63DB1FD4" w14:textId="77777777" w:rsidR="00000000" w:rsidRDefault="0098655D"/>
    <w:p w14:paraId="686101C6" w14:textId="77777777" w:rsidR="00000000" w:rsidRDefault="0098655D"/>
    <w:p w14:paraId="6C8DE923" w14:textId="77777777" w:rsidR="00000000" w:rsidRDefault="0098655D"/>
    <w:p w14:paraId="1B35C640" w14:textId="77777777" w:rsidR="00000000" w:rsidRDefault="0098655D"/>
    <w:p w14:paraId="79033354" w14:textId="77777777" w:rsidR="00000000" w:rsidRDefault="0098655D"/>
    <w:p w14:paraId="0AD5128F" w14:textId="77777777" w:rsidR="00000000" w:rsidRDefault="0098655D"/>
    <w:p w14:paraId="2B35A0F0" w14:textId="77777777" w:rsidR="00000000" w:rsidRDefault="0098655D"/>
    <w:p w14:paraId="436BD860" w14:textId="77777777" w:rsidR="00000000" w:rsidRDefault="0098655D"/>
    <w:p w14:paraId="1B58B5C4" w14:textId="77777777" w:rsidR="00000000" w:rsidRDefault="0098655D"/>
    <w:p w14:paraId="3541E058" w14:textId="77777777" w:rsidR="00000000" w:rsidRDefault="0098655D"/>
    <w:p w14:paraId="3B485607" w14:textId="77777777" w:rsidR="00000000" w:rsidRDefault="0098655D"/>
    <w:p w14:paraId="61191E03" w14:textId="77777777" w:rsidR="00000000" w:rsidRDefault="0098655D"/>
    <w:p w14:paraId="1BA14045" w14:textId="77777777" w:rsidR="00000000" w:rsidRDefault="0098655D">
      <w:r>
        <w:tab/>
        <w:t>The Super Decisions program can be used to make decisions, but as demonstrated in class, it can also be used to predict.  As assigned</w:t>
      </w:r>
      <w:r>
        <w:t xml:space="preserve"> the Super Decisions program will be used to predict the market share of well know U.S. Pizza Shops.  </w:t>
      </w:r>
    </w:p>
    <w:p w14:paraId="142B4F1E" w14:textId="77777777" w:rsidR="00000000" w:rsidRDefault="0098655D"/>
    <w:p w14:paraId="5C86E047" w14:textId="77777777" w:rsidR="00000000" w:rsidRDefault="0098655D">
      <w:r>
        <w:tab/>
        <w:t>For this model I chose to analyze nationally established pizza companies that are present in the Pittsburgh area.  Because they are in the Pittsburgh a</w:t>
      </w:r>
      <w:r>
        <w:t xml:space="preserve">rea, I am familiar with the organization and have tried the product of each company.  </w:t>
      </w:r>
    </w:p>
    <w:p w14:paraId="3D56EE57" w14:textId="77777777" w:rsidR="00000000" w:rsidRDefault="0098655D"/>
    <w:p w14:paraId="4B0264AF" w14:textId="77777777" w:rsidR="00000000" w:rsidRDefault="0098655D">
      <w:r>
        <w:tab/>
        <w:t>To begin the model, 5 categories were created:  1. Alternatives, lists all of the companies to be compared for market share.  2. Advertising, compares the properties o</w:t>
      </w:r>
      <w:r>
        <w:t xml:space="preserve">f advertising that are essential for attracting customers.  3.  Food, compares the product that the companies are selling.  4.  Company, compares the overall management and operation of the company as a business.  5.  Miscellaneous, compares and attribute </w:t>
      </w:r>
      <w:r>
        <w:t>that did not fit into the other categories.</w:t>
      </w:r>
    </w:p>
    <w:p w14:paraId="35DD68B0" w14:textId="77777777" w:rsidR="00000000" w:rsidRDefault="0098655D"/>
    <w:p w14:paraId="0A05FCFC" w14:textId="77777777" w:rsidR="00000000" w:rsidRDefault="0098655D">
      <w:r>
        <w:tab/>
        <w:t>The most important elements under each category can be seen in each cluster.  See Figure 1.</w:t>
      </w:r>
    </w:p>
    <w:p w14:paraId="22C7093E" w14:textId="77777777" w:rsidR="00000000" w:rsidRDefault="0098655D"/>
    <w:p w14:paraId="48BA641E" w14:textId="77777777" w:rsidR="00000000" w:rsidRDefault="0098655D">
      <w:r>
        <w:t>Figure 1</w:t>
      </w:r>
    </w:p>
    <w:p w14:paraId="319FAF83" w14:textId="4420AE8F" w:rsidR="00000000" w:rsidRDefault="00657F6F">
      <w:r>
        <w:drawing>
          <wp:inline distT="0" distB="0" distL="0" distR="0" wp14:anchorId="169C6113" wp14:editId="558E0347">
            <wp:extent cx="5486400" cy="34715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55D">
        <w:t xml:space="preserve">  </w:t>
      </w:r>
    </w:p>
    <w:p w14:paraId="561CFB8C" w14:textId="77777777" w:rsidR="00000000" w:rsidRDefault="0098655D"/>
    <w:p w14:paraId="30EB0439" w14:textId="77777777" w:rsidR="00000000" w:rsidRDefault="0098655D">
      <w:r>
        <w:tab/>
        <w:t>In general I felt that every element had effect within each cluster.  The are some elements that I fel</w:t>
      </w:r>
      <w:r>
        <w:t>t affected nodes in other clusters.</w:t>
      </w:r>
    </w:p>
    <w:p w14:paraId="430DDACB" w14:textId="77777777" w:rsidR="00000000" w:rsidRDefault="0098655D"/>
    <w:p w14:paraId="058F80A8" w14:textId="77777777" w:rsidR="00000000" w:rsidRDefault="0098655D">
      <w:pPr>
        <w:ind w:firstLine="720"/>
      </w:pPr>
      <w:r>
        <w:t>Management affects Innovation, Frequency, Promotion, Originality, Coupon, Price, and Choice.  See Figure 2.</w:t>
      </w:r>
    </w:p>
    <w:p w14:paraId="6D475783" w14:textId="77777777" w:rsidR="00000000" w:rsidRDefault="0098655D">
      <w:r>
        <w:lastRenderedPageBreak/>
        <w:t>Figure 2.</w:t>
      </w:r>
    </w:p>
    <w:p w14:paraId="64F53C6A" w14:textId="32775508" w:rsidR="00000000" w:rsidRDefault="00657F6F">
      <w:r>
        <w:drawing>
          <wp:inline distT="0" distB="0" distL="0" distR="0" wp14:anchorId="0844CB2E" wp14:editId="62069B0E">
            <wp:extent cx="5486400" cy="36404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BAA37" w14:textId="77777777" w:rsidR="00000000" w:rsidRDefault="0098655D"/>
    <w:p w14:paraId="535DD58C" w14:textId="77777777" w:rsidR="00000000" w:rsidRDefault="0098655D"/>
    <w:p w14:paraId="51D64655" w14:textId="77777777" w:rsidR="00000000" w:rsidRDefault="0098655D">
      <w:pPr>
        <w:ind w:firstLine="720"/>
      </w:pPr>
      <w:r>
        <w:t>Locations affects Brand Recognition.  See Figure 3.</w:t>
      </w:r>
    </w:p>
    <w:p w14:paraId="245508FE" w14:textId="77777777" w:rsidR="00000000" w:rsidRDefault="0098655D"/>
    <w:p w14:paraId="6D46B124" w14:textId="77777777" w:rsidR="00000000" w:rsidRDefault="0098655D">
      <w:r>
        <w:t>Figure 3.</w:t>
      </w:r>
    </w:p>
    <w:p w14:paraId="4C06AD1C" w14:textId="0EED539B" w:rsidR="00000000" w:rsidRDefault="00657F6F">
      <w:r>
        <w:drawing>
          <wp:inline distT="0" distB="0" distL="0" distR="0" wp14:anchorId="52335CCE" wp14:editId="02799F9F">
            <wp:extent cx="5486400" cy="34207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BEEE7" w14:textId="77777777" w:rsidR="00000000" w:rsidRDefault="0098655D"/>
    <w:p w14:paraId="2B78E4B1" w14:textId="77777777" w:rsidR="00000000" w:rsidRDefault="0098655D"/>
    <w:p w14:paraId="57EA2CCC" w14:textId="77777777" w:rsidR="00000000" w:rsidRDefault="0098655D">
      <w:pPr>
        <w:ind w:firstLine="720"/>
      </w:pPr>
      <w:r>
        <w:t xml:space="preserve">The highest weighted node for </w:t>
      </w:r>
      <w:r>
        <w:t>the model is the taste of the food at .132.  The next highest is Quality at .084.  See Figure 4.</w:t>
      </w:r>
    </w:p>
    <w:p w14:paraId="4DC5676C" w14:textId="77777777" w:rsidR="00000000" w:rsidRDefault="0098655D"/>
    <w:p w14:paraId="291D87DB" w14:textId="77777777" w:rsidR="00000000" w:rsidRDefault="0098655D">
      <w:r>
        <w:t>Figure 4.</w:t>
      </w:r>
    </w:p>
    <w:p w14:paraId="6CF1AC6E" w14:textId="591CDA23" w:rsidR="00000000" w:rsidRDefault="00657F6F">
      <w:r>
        <w:drawing>
          <wp:inline distT="0" distB="0" distL="0" distR="0" wp14:anchorId="177C346A" wp14:editId="1665C3FF">
            <wp:extent cx="4826000" cy="289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55D">
        <w:t xml:space="preserve"> </w:t>
      </w:r>
    </w:p>
    <w:p w14:paraId="0E70E9EE" w14:textId="77777777" w:rsidR="00000000" w:rsidRDefault="0098655D"/>
    <w:p w14:paraId="1CCB0D94" w14:textId="77777777" w:rsidR="00000000" w:rsidRDefault="0098655D">
      <w:pPr>
        <w:ind w:firstLine="720"/>
      </w:pPr>
      <w:r>
        <w:t xml:space="preserve">After Synthesizing the model the market share for each company came out as Pizza Hut 46.1%, Dominos 27.9%, Papa Johns 13.0%, and Little Caesars </w:t>
      </w:r>
      <w:r>
        <w:t>12.9%.  See Figure 5.</w:t>
      </w:r>
    </w:p>
    <w:p w14:paraId="34D4B07F" w14:textId="77777777" w:rsidR="00000000" w:rsidRDefault="0098655D"/>
    <w:p w14:paraId="5E83C7C9" w14:textId="77777777" w:rsidR="00000000" w:rsidRDefault="0098655D">
      <w:r>
        <w:t>Figure 5.</w:t>
      </w:r>
    </w:p>
    <w:p w14:paraId="00944716" w14:textId="42DC0B28" w:rsidR="00000000" w:rsidRDefault="00657F6F">
      <w:r>
        <w:drawing>
          <wp:inline distT="0" distB="0" distL="0" distR="0" wp14:anchorId="12F3775D" wp14:editId="054F00BD">
            <wp:extent cx="4131945" cy="32004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7BB08" w14:textId="77777777" w:rsidR="00000000" w:rsidRDefault="0098655D"/>
    <w:p w14:paraId="334F09E9" w14:textId="77777777" w:rsidR="00000000" w:rsidRDefault="0098655D">
      <w:pPr>
        <w:ind w:firstLine="720"/>
      </w:pPr>
      <w:r>
        <w:t xml:space="preserve">From the US Business Reporter, </w:t>
      </w:r>
      <w:hyperlink r:id="rId9" w:history="1">
        <w:r>
          <w:rPr>
            <w:rStyle w:val="Hyperlink"/>
          </w:rPr>
          <w:t>http://www.activemedia-guide.com/pizzarest_mrkt.htm</w:t>
        </w:r>
      </w:hyperlink>
      <w:r>
        <w:t xml:space="preserve">, the 2000 US pizza shop market share was obtained.  In the analysis </w:t>
      </w:r>
      <w:r>
        <w:t>all four of the analyzed companies are represented, but the category of other held over 54% of the companies.  This 54% most likely represents local pizza shops or mom and pop operations.  As 54% of the total companies are not represented in my model, it m</w:t>
      </w:r>
      <w:r>
        <w:t>akes sense to compensate for this when reporting my percentages to better match this report.  See Figure 6.</w:t>
      </w:r>
    </w:p>
    <w:p w14:paraId="7A3BF314" w14:textId="77777777" w:rsidR="00000000" w:rsidRDefault="0098655D"/>
    <w:p w14:paraId="68E93263" w14:textId="77777777" w:rsidR="00000000" w:rsidRDefault="0098655D">
      <w:r>
        <w:t>Figure 6.</w:t>
      </w:r>
    </w:p>
    <w:p w14:paraId="553EDE00" w14:textId="5FFFB0FC" w:rsidR="00000000" w:rsidRDefault="00657F6F">
      <w:r>
        <w:drawing>
          <wp:inline distT="0" distB="0" distL="0" distR="0" wp14:anchorId="2136EEBF" wp14:editId="21694EC5">
            <wp:extent cx="5486400" cy="39795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77E43" w14:textId="77777777" w:rsidR="00000000" w:rsidRDefault="0098655D"/>
    <w:p w14:paraId="5113CF7E" w14:textId="77777777" w:rsidR="00000000" w:rsidRDefault="0098655D">
      <w:r>
        <w:tab/>
        <w:t xml:space="preserve">To compensate for the lack of 54% in my model, I multiplied by .46.  See Table 1.  </w:t>
      </w:r>
    </w:p>
    <w:p w14:paraId="000BF7FC" w14:textId="77777777" w:rsidR="00000000" w:rsidRDefault="0098655D"/>
    <w:p w14:paraId="66351E8A" w14:textId="77777777" w:rsidR="00000000" w:rsidRDefault="0098655D">
      <w:r>
        <w:t>Table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00000" w14:paraId="5C8512DD" w14:textId="77777777">
        <w:tc>
          <w:tcPr>
            <w:tcW w:w="1771" w:type="dxa"/>
          </w:tcPr>
          <w:p w14:paraId="1EE1837B" w14:textId="77777777" w:rsidR="00000000" w:rsidRDefault="0098655D">
            <w:r>
              <w:t>Company</w:t>
            </w:r>
          </w:p>
        </w:tc>
        <w:tc>
          <w:tcPr>
            <w:tcW w:w="1771" w:type="dxa"/>
          </w:tcPr>
          <w:p w14:paraId="4C7DC3A6" w14:textId="77777777" w:rsidR="00000000" w:rsidRDefault="0098655D">
            <w:r>
              <w:t>Model Market Share</w:t>
            </w:r>
          </w:p>
        </w:tc>
        <w:tc>
          <w:tcPr>
            <w:tcW w:w="1771" w:type="dxa"/>
          </w:tcPr>
          <w:p w14:paraId="0FC79977" w14:textId="77777777" w:rsidR="00000000" w:rsidRDefault="0098655D">
            <w:r>
              <w:t>Multiplied B</w:t>
            </w:r>
            <w:r>
              <w:t>y</w:t>
            </w:r>
          </w:p>
        </w:tc>
        <w:tc>
          <w:tcPr>
            <w:tcW w:w="1771" w:type="dxa"/>
          </w:tcPr>
          <w:p w14:paraId="77571BC1" w14:textId="77777777" w:rsidR="00000000" w:rsidRDefault="0098655D">
            <w:r>
              <w:t>Market Share Not Acct For</w:t>
            </w:r>
          </w:p>
        </w:tc>
        <w:tc>
          <w:tcPr>
            <w:tcW w:w="1772" w:type="dxa"/>
          </w:tcPr>
          <w:p w14:paraId="63D0BDC9" w14:textId="77777777" w:rsidR="00000000" w:rsidRDefault="0098655D">
            <w:r>
              <w:t>Result</w:t>
            </w:r>
          </w:p>
          <w:p w14:paraId="5A0DBFD4" w14:textId="77777777" w:rsidR="00000000" w:rsidRDefault="0098655D"/>
        </w:tc>
      </w:tr>
      <w:tr w:rsidR="00000000" w14:paraId="647F89B1" w14:textId="77777777">
        <w:tc>
          <w:tcPr>
            <w:tcW w:w="1771" w:type="dxa"/>
          </w:tcPr>
          <w:p w14:paraId="783182DF" w14:textId="77777777" w:rsidR="00000000" w:rsidRDefault="0098655D">
            <w:r>
              <w:t>Pizza Hut</w:t>
            </w:r>
          </w:p>
        </w:tc>
        <w:tc>
          <w:tcPr>
            <w:tcW w:w="1771" w:type="dxa"/>
          </w:tcPr>
          <w:p w14:paraId="1E769602" w14:textId="77777777" w:rsidR="00000000" w:rsidRDefault="0098655D">
            <w:r>
              <w:t>.46</w:t>
            </w:r>
          </w:p>
        </w:tc>
        <w:tc>
          <w:tcPr>
            <w:tcW w:w="1771" w:type="dxa"/>
          </w:tcPr>
          <w:p w14:paraId="46657AE8" w14:textId="77777777" w:rsidR="00000000" w:rsidRDefault="0098655D">
            <w:r>
              <w:t>X</w:t>
            </w:r>
          </w:p>
        </w:tc>
        <w:tc>
          <w:tcPr>
            <w:tcW w:w="1771" w:type="dxa"/>
          </w:tcPr>
          <w:p w14:paraId="3E28E841" w14:textId="77777777" w:rsidR="00000000" w:rsidRDefault="0098655D">
            <w:r>
              <w:t>.45</w:t>
            </w:r>
          </w:p>
        </w:tc>
        <w:tc>
          <w:tcPr>
            <w:tcW w:w="1772" w:type="dxa"/>
          </w:tcPr>
          <w:p w14:paraId="4262D483" w14:textId="77777777" w:rsidR="00000000" w:rsidRDefault="0098655D">
            <w:r>
              <w:t>20.7%</w:t>
            </w:r>
          </w:p>
        </w:tc>
      </w:tr>
      <w:tr w:rsidR="00000000" w14:paraId="4E10AF39" w14:textId="77777777">
        <w:tc>
          <w:tcPr>
            <w:tcW w:w="1771" w:type="dxa"/>
          </w:tcPr>
          <w:p w14:paraId="0BD23EEB" w14:textId="77777777" w:rsidR="00000000" w:rsidRDefault="0098655D">
            <w:r>
              <w:t>Dominos</w:t>
            </w:r>
          </w:p>
        </w:tc>
        <w:tc>
          <w:tcPr>
            <w:tcW w:w="1771" w:type="dxa"/>
          </w:tcPr>
          <w:p w14:paraId="1BC47B44" w14:textId="77777777" w:rsidR="00000000" w:rsidRDefault="0098655D">
            <w:r>
              <w:t>.28</w:t>
            </w:r>
          </w:p>
        </w:tc>
        <w:tc>
          <w:tcPr>
            <w:tcW w:w="1771" w:type="dxa"/>
          </w:tcPr>
          <w:p w14:paraId="5BB99487" w14:textId="77777777" w:rsidR="00000000" w:rsidRDefault="0098655D">
            <w:r>
              <w:t>X</w:t>
            </w:r>
          </w:p>
        </w:tc>
        <w:tc>
          <w:tcPr>
            <w:tcW w:w="1771" w:type="dxa"/>
          </w:tcPr>
          <w:p w14:paraId="7983DB0D" w14:textId="77777777" w:rsidR="00000000" w:rsidRDefault="0098655D">
            <w:r>
              <w:t>.45</w:t>
            </w:r>
          </w:p>
        </w:tc>
        <w:tc>
          <w:tcPr>
            <w:tcW w:w="1772" w:type="dxa"/>
          </w:tcPr>
          <w:p w14:paraId="52778406" w14:textId="77777777" w:rsidR="00000000" w:rsidRDefault="0098655D">
            <w:r>
              <w:t>12.6%</w:t>
            </w:r>
          </w:p>
        </w:tc>
      </w:tr>
      <w:tr w:rsidR="00000000" w14:paraId="1E6DF30E" w14:textId="77777777">
        <w:tc>
          <w:tcPr>
            <w:tcW w:w="1771" w:type="dxa"/>
          </w:tcPr>
          <w:p w14:paraId="711EFDC3" w14:textId="77777777" w:rsidR="00000000" w:rsidRDefault="0098655D">
            <w:r>
              <w:t>Papa Johns</w:t>
            </w:r>
          </w:p>
        </w:tc>
        <w:tc>
          <w:tcPr>
            <w:tcW w:w="1771" w:type="dxa"/>
          </w:tcPr>
          <w:p w14:paraId="4CFA1CCC" w14:textId="77777777" w:rsidR="00000000" w:rsidRDefault="0098655D">
            <w:r>
              <w:t>.13</w:t>
            </w:r>
          </w:p>
        </w:tc>
        <w:tc>
          <w:tcPr>
            <w:tcW w:w="1771" w:type="dxa"/>
          </w:tcPr>
          <w:p w14:paraId="322F9ACC" w14:textId="77777777" w:rsidR="00000000" w:rsidRDefault="0098655D">
            <w:r>
              <w:t>X</w:t>
            </w:r>
          </w:p>
        </w:tc>
        <w:tc>
          <w:tcPr>
            <w:tcW w:w="1771" w:type="dxa"/>
          </w:tcPr>
          <w:p w14:paraId="67525208" w14:textId="77777777" w:rsidR="00000000" w:rsidRDefault="0098655D">
            <w:r>
              <w:t>.45</w:t>
            </w:r>
          </w:p>
        </w:tc>
        <w:tc>
          <w:tcPr>
            <w:tcW w:w="1772" w:type="dxa"/>
          </w:tcPr>
          <w:p w14:paraId="5C21F983" w14:textId="77777777" w:rsidR="00000000" w:rsidRDefault="0098655D">
            <w:r>
              <w:t>5.85%</w:t>
            </w:r>
          </w:p>
        </w:tc>
      </w:tr>
      <w:tr w:rsidR="00000000" w14:paraId="5F0C579D" w14:textId="77777777">
        <w:tc>
          <w:tcPr>
            <w:tcW w:w="1771" w:type="dxa"/>
          </w:tcPr>
          <w:p w14:paraId="7B12191A" w14:textId="77777777" w:rsidR="00000000" w:rsidRDefault="0098655D">
            <w:r>
              <w:t>Little Caesars</w:t>
            </w:r>
          </w:p>
        </w:tc>
        <w:tc>
          <w:tcPr>
            <w:tcW w:w="1771" w:type="dxa"/>
          </w:tcPr>
          <w:p w14:paraId="005A036B" w14:textId="77777777" w:rsidR="00000000" w:rsidRDefault="0098655D">
            <w:r>
              <w:t>.12</w:t>
            </w:r>
          </w:p>
        </w:tc>
        <w:tc>
          <w:tcPr>
            <w:tcW w:w="1771" w:type="dxa"/>
          </w:tcPr>
          <w:p w14:paraId="1841D4D9" w14:textId="77777777" w:rsidR="00000000" w:rsidRDefault="0098655D">
            <w:r>
              <w:t>X</w:t>
            </w:r>
          </w:p>
        </w:tc>
        <w:tc>
          <w:tcPr>
            <w:tcW w:w="1771" w:type="dxa"/>
          </w:tcPr>
          <w:p w14:paraId="308F4C6C" w14:textId="77777777" w:rsidR="00000000" w:rsidRDefault="0098655D">
            <w:r>
              <w:t>.45</w:t>
            </w:r>
          </w:p>
        </w:tc>
        <w:tc>
          <w:tcPr>
            <w:tcW w:w="1772" w:type="dxa"/>
          </w:tcPr>
          <w:p w14:paraId="047386F0" w14:textId="77777777" w:rsidR="00000000" w:rsidRDefault="0098655D">
            <w:r>
              <w:t>5.76%</w:t>
            </w:r>
          </w:p>
        </w:tc>
      </w:tr>
    </w:tbl>
    <w:p w14:paraId="778A053D" w14:textId="77777777" w:rsidR="00000000" w:rsidRDefault="0098655D"/>
    <w:p w14:paraId="04F7E1E3" w14:textId="77777777" w:rsidR="00000000" w:rsidRDefault="0098655D">
      <w:r>
        <w:tab/>
      </w:r>
    </w:p>
    <w:p w14:paraId="34A16428" w14:textId="77777777" w:rsidR="00000000" w:rsidRDefault="0098655D"/>
    <w:p w14:paraId="2E8C3031" w14:textId="77777777" w:rsidR="00000000" w:rsidRDefault="0098655D">
      <w:pPr>
        <w:pStyle w:val="BodyText"/>
      </w:pPr>
      <w:r>
        <w:lastRenderedPageBreak/>
        <w:t xml:space="preserve">Roz Note:  This was an original way to do it, convert from model results to market share data.  Better </w:t>
      </w:r>
      <w:r>
        <w:t>to do as follows:</w:t>
      </w:r>
    </w:p>
    <w:p w14:paraId="5321A396" w14:textId="77777777" w:rsidR="00000000" w:rsidRDefault="0098655D">
      <w:pPr>
        <w:pStyle w:val="BodyText"/>
      </w:pPr>
    </w:p>
    <w:p w14:paraId="4C8D9EE3" w14:textId="77777777" w:rsidR="00000000" w:rsidRDefault="0098655D">
      <w:pPr>
        <w:pStyle w:val="BodyText"/>
      </w:pPr>
      <w:r>
        <w:t>MktShr     Rel.MktShr</w:t>
      </w:r>
    </w:p>
    <w:tbl>
      <w:tblPr>
        <w:tblW w:w="19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000000" w14:paraId="19A82156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154BCB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09A912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0.472406</w:t>
            </w:r>
          </w:p>
        </w:tc>
      </w:tr>
      <w:tr w:rsidR="00000000" w14:paraId="370AA628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139537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5048EE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0.249448</w:t>
            </w:r>
          </w:p>
        </w:tc>
      </w:tr>
      <w:tr w:rsidR="00000000" w14:paraId="5104107A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952240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4FC34C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0.11479</w:t>
            </w:r>
          </w:p>
        </w:tc>
      </w:tr>
      <w:tr w:rsidR="00000000" w14:paraId="2B37DF1A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F8F84E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5A95F7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0.163355</w:t>
            </w:r>
          </w:p>
        </w:tc>
      </w:tr>
      <w:tr w:rsidR="00000000" w14:paraId="2E49AF4B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76AF08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257D6D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0000" w14:paraId="325F69AE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D68AEA" w14:textId="77777777" w:rsidR="00000000" w:rsidRDefault="009865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C1577" w14:textId="77777777" w:rsidR="00000000" w:rsidRDefault="00986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F043A2" w14:textId="77777777" w:rsidR="00000000" w:rsidRDefault="0098655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1660B29" w14:textId="77777777" w:rsidR="00000000" w:rsidRDefault="0098655D"/>
    <w:p w14:paraId="12C6DA4C" w14:textId="77777777" w:rsidR="00000000" w:rsidRDefault="0098655D">
      <w:pPr>
        <w:pStyle w:val="BodyText"/>
      </w:pPr>
      <w:r>
        <w:t>Model  results:</w:t>
      </w:r>
      <w:r>
        <w:tab/>
        <w:t>Actual Rel Mkt Shr from data</w:t>
      </w:r>
    </w:p>
    <w:p w14:paraId="71B14423" w14:textId="77777777" w:rsidR="00000000" w:rsidRDefault="0098655D">
      <w:pPr>
        <w:rPr>
          <w:i/>
          <w:iCs/>
        </w:rPr>
      </w:pPr>
      <w:r>
        <w:rPr>
          <w:i/>
          <w:iCs/>
        </w:rPr>
        <w:t>.46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.472</w:t>
      </w:r>
    </w:p>
    <w:p w14:paraId="388FEB33" w14:textId="77777777" w:rsidR="00000000" w:rsidRDefault="0098655D">
      <w:pPr>
        <w:rPr>
          <w:i/>
          <w:iCs/>
        </w:rPr>
      </w:pPr>
      <w:r>
        <w:rPr>
          <w:i/>
          <w:iCs/>
        </w:rPr>
        <w:t>.28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.249</w:t>
      </w:r>
    </w:p>
    <w:p w14:paraId="043EE05E" w14:textId="77777777" w:rsidR="00000000" w:rsidRDefault="0098655D">
      <w:pPr>
        <w:rPr>
          <w:i/>
          <w:iCs/>
        </w:rPr>
      </w:pPr>
      <w:r>
        <w:rPr>
          <w:i/>
          <w:iCs/>
        </w:rPr>
        <w:t>.13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.115</w:t>
      </w:r>
    </w:p>
    <w:p w14:paraId="7B322BA5" w14:textId="77777777" w:rsidR="00000000" w:rsidRDefault="0098655D">
      <w:pPr>
        <w:rPr>
          <w:i/>
          <w:iCs/>
        </w:rPr>
      </w:pPr>
      <w:r>
        <w:rPr>
          <w:i/>
          <w:iCs/>
        </w:rPr>
        <w:t>.12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.163</w:t>
      </w:r>
    </w:p>
    <w:p w14:paraId="4EC14D4E" w14:textId="77777777" w:rsidR="00000000" w:rsidRDefault="0098655D"/>
    <w:p w14:paraId="68BF869F" w14:textId="77777777" w:rsidR="0098655D" w:rsidRDefault="0098655D">
      <w:r>
        <w:t>As you can see from the Result column in Table 1, the re</w:t>
      </w:r>
      <w:r>
        <w:t>lative market share found by the Super Decisions model match well for Pizza Hut (21.4% to 20.7%) and Dominos (12.6% to 11.3%), but are not as good for Little Caesars.  Little Caesars probably came out lower because they are not well represented in the Pitt</w:t>
      </w:r>
      <w:r>
        <w:t xml:space="preserve">sburgh area.  Apparently they are more popular outside of the Pittsburgh area.  </w:t>
      </w:r>
    </w:p>
    <w:sectPr w:rsidR="009865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6F"/>
    <w:rsid w:val="00657F6F"/>
    <w:rsid w:val="0098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38086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yperlink" Target="http://www.activemedia-guide.com/pizzarest_mrkt.htm" TargetMode="External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508</Words>
  <Characters>2901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AHP Super Decision Model</vt:lpstr>
    </vt:vector>
  </TitlesOfParts>
  <Company/>
  <LinksUpToDate>false</LinksUpToDate>
  <CharactersWithSpaces>3403</CharactersWithSpaces>
  <SharedDoc>false</SharedDoc>
  <HLinks>
    <vt:vector size="6" baseType="variant">
      <vt:variant>
        <vt:i4>6488130</vt:i4>
      </vt:variant>
      <vt:variant>
        <vt:i4>0</vt:i4>
      </vt:variant>
      <vt:variant>
        <vt:i4>0</vt:i4>
      </vt:variant>
      <vt:variant>
        <vt:i4>5</vt:i4>
      </vt:variant>
      <vt:variant>
        <vt:lpwstr>http://www.activemedia-guide.com/pizzarest_mrkt.htm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AHP Super Decision Model</dc:title>
  <dc:subject/>
  <dc:creator>Jason</dc:creator>
  <cp:keywords/>
  <dc:description/>
  <cp:lastModifiedBy>E R</cp:lastModifiedBy>
  <cp:revision>2</cp:revision>
  <dcterms:created xsi:type="dcterms:W3CDTF">2017-02-21T20:21:00Z</dcterms:created>
  <dcterms:modified xsi:type="dcterms:W3CDTF">2017-02-21T20:21:00Z</dcterms:modified>
</cp:coreProperties>
</file>