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lang w:eastAsia="en-US"/>
        </w:rPr>
        <w:id w:val="1839108528"/>
        <w:docPartObj>
          <w:docPartGallery w:val="Cover Pages"/>
          <w:docPartUnique/>
        </w:docPartObj>
      </w:sdtPr>
      <w:sdtEndPr>
        <w:rPr>
          <w:rFonts w:asciiTheme="minorHAnsi" w:eastAsiaTheme="minorEastAsia" w:hAnsiTheme="minorHAnsi" w:cstheme="minorBidi"/>
        </w:rPr>
      </w:sdtEndPr>
      <w:sdtContent>
        <w:tbl>
          <w:tblPr>
            <w:tblpPr w:leftFromText="187" w:rightFromText="187" w:horzAnchor="margin" w:tblpXSpec="center" w:tblpY="2881"/>
            <w:tblW w:w="4000" w:type="pct"/>
            <w:tblBorders>
              <w:left w:val="single" w:sz="18" w:space="0" w:color="4F81BD" w:themeColor="accent1"/>
            </w:tblBorders>
            <w:tblLook w:val="04A0" w:firstRow="1" w:lastRow="0" w:firstColumn="1" w:lastColumn="0" w:noHBand="0" w:noVBand="1"/>
          </w:tblPr>
          <w:tblGrid>
            <w:gridCol w:w="7672"/>
          </w:tblGrid>
          <w:tr w:rsidR="00890373" w:rsidRPr="00890373">
            <w:tc>
              <w:tcPr>
                <w:tcW w:w="7672" w:type="dxa"/>
                <w:tcMar>
                  <w:top w:w="216" w:type="dxa"/>
                  <w:left w:w="115" w:type="dxa"/>
                  <w:bottom w:w="216" w:type="dxa"/>
                  <w:right w:w="115" w:type="dxa"/>
                </w:tcMar>
              </w:tcPr>
              <w:p w:rsidR="00890373" w:rsidRPr="00890373" w:rsidRDefault="00890373" w:rsidP="00890373">
                <w:pPr>
                  <w:pStyle w:val="NoSpacing"/>
                  <w:rPr>
                    <w:rFonts w:asciiTheme="majorHAnsi" w:eastAsiaTheme="majorEastAsia" w:hAnsiTheme="majorHAnsi" w:cstheme="majorBidi"/>
                  </w:rPr>
                </w:pPr>
              </w:p>
            </w:tc>
          </w:tr>
          <w:tr w:rsidR="00890373" w:rsidRPr="00890373">
            <w:tc>
              <w:tcPr>
                <w:tcW w:w="7672" w:type="dxa"/>
              </w:tcPr>
              <w:sdt>
                <w:sdtPr>
                  <w:rPr>
                    <w:rFonts w:asciiTheme="majorHAnsi" w:eastAsiaTheme="majorEastAsia" w:hAnsiTheme="majorHAnsi" w:cstheme="majorBidi"/>
                    <w:sz w:val="80"/>
                    <w:szCs w:val="80"/>
                  </w:rPr>
                  <w:alias w:val="Title"/>
                  <w:id w:val="13406919"/>
                  <w:placeholder>
                    <w:docPart w:val="86BE4A15E1164BB09BAA0FB7684376D9"/>
                  </w:placeholder>
                  <w:dataBinding w:prefixMappings="xmlns:ns0='http://schemas.openxmlformats.org/package/2006/metadata/core-properties' xmlns:ns1='http://purl.org/dc/elements/1.1/'" w:xpath="/ns0:coreProperties[1]/ns1:title[1]" w:storeItemID="{6C3C8BC8-F283-45AE-878A-BAB7291924A1}"/>
                  <w:text/>
                </w:sdtPr>
                <w:sdtEndPr/>
                <w:sdtContent>
                  <w:p w:rsidR="00890373" w:rsidRPr="00890373" w:rsidRDefault="00890373" w:rsidP="00890373">
                    <w:pPr>
                      <w:pStyle w:val="NoSpacing"/>
                      <w:rPr>
                        <w:rFonts w:asciiTheme="majorHAnsi" w:eastAsiaTheme="majorEastAsia" w:hAnsiTheme="majorHAnsi" w:cstheme="majorBidi"/>
                        <w:sz w:val="80"/>
                        <w:szCs w:val="80"/>
                      </w:rPr>
                    </w:pPr>
                    <w:r w:rsidRPr="00890373">
                      <w:rPr>
                        <w:rFonts w:asciiTheme="majorHAnsi" w:eastAsiaTheme="majorEastAsia" w:hAnsiTheme="majorHAnsi" w:cstheme="majorBidi"/>
                        <w:sz w:val="80"/>
                        <w:szCs w:val="80"/>
                      </w:rPr>
                      <w:t>Determining Whether the NFL Should Modify Its Regular Season to 18 Games</w:t>
                    </w:r>
                  </w:p>
                </w:sdtContent>
              </w:sdt>
            </w:tc>
          </w:tr>
          <w:tr w:rsidR="00890373" w:rsidRPr="00890373">
            <w:tc>
              <w:tcPr>
                <w:tcW w:w="7672" w:type="dxa"/>
                <w:tcMar>
                  <w:top w:w="216" w:type="dxa"/>
                  <w:left w:w="115" w:type="dxa"/>
                  <w:bottom w:w="216" w:type="dxa"/>
                  <w:right w:w="115" w:type="dxa"/>
                </w:tcMar>
              </w:tcPr>
              <w:p w:rsidR="00890373" w:rsidRPr="00890373" w:rsidRDefault="00890373" w:rsidP="00890373">
                <w:pPr>
                  <w:pStyle w:val="NoSpacing"/>
                  <w:rPr>
                    <w:rFonts w:asciiTheme="majorHAnsi" w:eastAsiaTheme="majorEastAsia" w:hAnsiTheme="majorHAnsi" w:cstheme="majorBidi"/>
                  </w:rPr>
                </w:pPr>
              </w:p>
            </w:tc>
          </w:tr>
        </w:tbl>
        <w:p w:rsidR="00890373" w:rsidRDefault="00890373" w:rsidP="00890373">
          <w:pPr>
            <w:spacing w:line="480" w:lineRule="auto"/>
          </w:pPr>
        </w:p>
        <w:p w:rsidR="00890373" w:rsidRDefault="00890373" w:rsidP="00890373">
          <w:pPr>
            <w:spacing w:line="480" w:lineRule="auto"/>
          </w:pPr>
        </w:p>
        <w:tbl>
          <w:tblPr>
            <w:tblpPr w:leftFromText="187" w:rightFromText="187" w:horzAnchor="margin" w:tblpXSpec="center" w:tblpYSpec="bottom"/>
            <w:tblW w:w="4000" w:type="pct"/>
            <w:tblLook w:val="04A0" w:firstRow="1" w:lastRow="0" w:firstColumn="1" w:lastColumn="0" w:noHBand="0" w:noVBand="1"/>
          </w:tblPr>
          <w:tblGrid>
            <w:gridCol w:w="7672"/>
          </w:tblGrid>
          <w:tr w:rsidR="00890373" w:rsidRPr="00890373">
            <w:tc>
              <w:tcPr>
                <w:tcW w:w="7672" w:type="dxa"/>
                <w:tcMar>
                  <w:top w:w="216" w:type="dxa"/>
                  <w:left w:w="115" w:type="dxa"/>
                  <w:bottom w:w="216" w:type="dxa"/>
                  <w:right w:w="115" w:type="dxa"/>
                </w:tcMar>
              </w:tcPr>
              <w:sdt>
                <w:sdtPr>
                  <w:rPr>
                    <w:sz w:val="32"/>
                  </w:rPr>
                  <w:alias w:val="Author"/>
                  <w:id w:val="13406928"/>
                  <w:placeholder>
                    <w:docPart w:val="AAE61BDD4B87421B8C2847F9BAB6A415"/>
                  </w:placeholder>
                  <w:dataBinding w:prefixMappings="xmlns:ns0='http://schemas.openxmlformats.org/package/2006/metadata/core-properties' xmlns:ns1='http://purl.org/dc/elements/1.1/'" w:xpath="/ns0:coreProperties[1]/ns1:creator[1]" w:storeItemID="{6C3C8BC8-F283-45AE-878A-BAB7291924A1}"/>
                  <w:text/>
                </w:sdtPr>
                <w:sdtEndPr/>
                <w:sdtContent>
                  <w:p w:rsidR="00890373" w:rsidRPr="00890373" w:rsidRDefault="00890373" w:rsidP="00890373">
                    <w:pPr>
                      <w:pStyle w:val="NoSpacing"/>
                      <w:spacing w:line="480" w:lineRule="auto"/>
                      <w:rPr>
                        <w:sz w:val="32"/>
                      </w:rPr>
                    </w:pPr>
                    <w:r w:rsidRPr="00890373">
                      <w:rPr>
                        <w:sz w:val="32"/>
                      </w:rPr>
                      <w:t>Shannon Harris and Paul Matthews</w:t>
                    </w:r>
                  </w:p>
                </w:sdtContent>
              </w:sdt>
              <w:sdt>
                <w:sdtPr>
                  <w:rPr>
                    <w:sz w:val="32"/>
                  </w:rPr>
                  <w:alias w:val="Date"/>
                  <w:id w:val="13406932"/>
                  <w:dataBinding w:prefixMappings="xmlns:ns0='http://schemas.microsoft.com/office/2006/coverPageProps'" w:xpath="/ns0:CoverPageProperties[1]/ns0:PublishDate[1]" w:storeItemID="{55AF091B-3C7A-41E3-B477-F2FDAA23CFDA}"/>
                  <w:date w:fullDate="2011-10-17T00:00:00Z">
                    <w:dateFormat w:val="M/d/yyyy"/>
                    <w:lid w:val="en-US"/>
                    <w:storeMappedDataAs w:val="dateTime"/>
                    <w:calendar w:val="gregorian"/>
                  </w:date>
                </w:sdtPr>
                <w:sdtEndPr/>
                <w:sdtContent>
                  <w:p w:rsidR="00890373" w:rsidRPr="00890373" w:rsidRDefault="00890373" w:rsidP="00890373">
                    <w:pPr>
                      <w:pStyle w:val="NoSpacing"/>
                      <w:spacing w:line="480" w:lineRule="auto"/>
                      <w:rPr>
                        <w:sz w:val="32"/>
                      </w:rPr>
                    </w:pPr>
                    <w:r w:rsidRPr="00890373">
                      <w:rPr>
                        <w:sz w:val="32"/>
                      </w:rPr>
                      <w:t>10/17/2011</w:t>
                    </w:r>
                  </w:p>
                </w:sdtContent>
              </w:sdt>
              <w:p w:rsidR="00890373" w:rsidRPr="00890373" w:rsidRDefault="00890373" w:rsidP="00890373">
                <w:pPr>
                  <w:pStyle w:val="NoSpacing"/>
                  <w:spacing w:line="480" w:lineRule="auto"/>
                  <w:rPr>
                    <w:sz w:val="32"/>
                  </w:rPr>
                </w:pPr>
              </w:p>
            </w:tc>
          </w:tr>
        </w:tbl>
        <w:p w:rsidR="00890373" w:rsidRDefault="00890373" w:rsidP="00890373">
          <w:pPr>
            <w:spacing w:line="480" w:lineRule="auto"/>
          </w:pPr>
        </w:p>
        <w:p w:rsidR="00890373" w:rsidRDefault="00890373" w:rsidP="00890373">
          <w:pPr>
            <w:spacing w:line="480" w:lineRule="auto"/>
          </w:pPr>
          <w:r>
            <w:br w:type="page"/>
          </w:r>
        </w:p>
      </w:sdtContent>
    </w:sdt>
    <w:sdt>
      <w:sdtPr>
        <w:rPr>
          <w:rFonts w:asciiTheme="minorHAnsi" w:eastAsiaTheme="minorEastAsia" w:hAnsiTheme="minorHAnsi" w:cstheme="minorBidi"/>
          <w:b w:val="0"/>
          <w:bCs w:val="0"/>
          <w:color w:val="auto"/>
          <w:sz w:val="22"/>
          <w:szCs w:val="22"/>
          <w:lang w:eastAsia="en-US"/>
        </w:rPr>
        <w:id w:val="980576794"/>
        <w:docPartObj>
          <w:docPartGallery w:val="Table of Contents"/>
          <w:docPartUnique/>
        </w:docPartObj>
      </w:sdtPr>
      <w:sdtEndPr>
        <w:rPr>
          <w:noProof/>
        </w:rPr>
      </w:sdtEndPr>
      <w:sdtContent>
        <w:p w:rsidR="00684ED5" w:rsidRDefault="00684ED5">
          <w:pPr>
            <w:pStyle w:val="TOCHeading"/>
          </w:pPr>
          <w:r>
            <w:t>Table of Contents</w:t>
          </w:r>
        </w:p>
        <w:p w:rsidR="000A3780" w:rsidRDefault="00CF665C">
          <w:pPr>
            <w:pStyle w:val="TOC1"/>
            <w:tabs>
              <w:tab w:val="right" w:leader="dot" w:pos="9350"/>
            </w:tabs>
            <w:rPr>
              <w:noProof/>
            </w:rPr>
          </w:pPr>
          <w:r>
            <w:fldChar w:fldCharType="begin"/>
          </w:r>
          <w:r w:rsidR="00684ED5">
            <w:instrText xml:space="preserve"> TOC \o "1-3" \h \z \u </w:instrText>
          </w:r>
          <w:r>
            <w:fldChar w:fldCharType="separate"/>
          </w:r>
          <w:hyperlink w:anchor="_Toc306536813" w:history="1">
            <w:r w:rsidR="000A3780" w:rsidRPr="000A7CF9">
              <w:rPr>
                <w:rStyle w:val="Hyperlink"/>
                <w:noProof/>
              </w:rPr>
              <w:t>Introduction</w:t>
            </w:r>
            <w:r w:rsidR="000A3780">
              <w:rPr>
                <w:noProof/>
                <w:webHidden/>
              </w:rPr>
              <w:tab/>
            </w:r>
            <w:r w:rsidR="000A3780">
              <w:rPr>
                <w:noProof/>
                <w:webHidden/>
              </w:rPr>
              <w:fldChar w:fldCharType="begin"/>
            </w:r>
            <w:r w:rsidR="000A3780">
              <w:rPr>
                <w:noProof/>
                <w:webHidden/>
              </w:rPr>
              <w:instrText xml:space="preserve"> PAGEREF _Toc306536813 \h </w:instrText>
            </w:r>
            <w:r w:rsidR="000A3780">
              <w:rPr>
                <w:noProof/>
                <w:webHidden/>
              </w:rPr>
            </w:r>
            <w:r w:rsidR="000A3780">
              <w:rPr>
                <w:noProof/>
                <w:webHidden/>
              </w:rPr>
              <w:fldChar w:fldCharType="separate"/>
            </w:r>
            <w:r w:rsidR="000A3780">
              <w:rPr>
                <w:noProof/>
                <w:webHidden/>
              </w:rPr>
              <w:t>2</w:t>
            </w:r>
            <w:r w:rsidR="000A3780">
              <w:rPr>
                <w:noProof/>
                <w:webHidden/>
              </w:rPr>
              <w:fldChar w:fldCharType="end"/>
            </w:r>
          </w:hyperlink>
        </w:p>
        <w:p w:rsidR="000A3780" w:rsidRDefault="000A3780">
          <w:pPr>
            <w:pStyle w:val="TOC1"/>
            <w:tabs>
              <w:tab w:val="right" w:leader="dot" w:pos="9350"/>
            </w:tabs>
            <w:rPr>
              <w:noProof/>
            </w:rPr>
          </w:pPr>
          <w:hyperlink w:anchor="_Toc306536814" w:history="1">
            <w:r w:rsidRPr="000A7CF9">
              <w:rPr>
                <w:rStyle w:val="Hyperlink"/>
                <w:noProof/>
              </w:rPr>
              <w:t>Model</w:t>
            </w:r>
            <w:r>
              <w:rPr>
                <w:noProof/>
                <w:webHidden/>
              </w:rPr>
              <w:tab/>
            </w:r>
            <w:r>
              <w:rPr>
                <w:noProof/>
                <w:webHidden/>
              </w:rPr>
              <w:fldChar w:fldCharType="begin"/>
            </w:r>
            <w:r>
              <w:rPr>
                <w:noProof/>
                <w:webHidden/>
              </w:rPr>
              <w:instrText xml:space="preserve"> PAGEREF _Toc306536814 \h </w:instrText>
            </w:r>
            <w:r>
              <w:rPr>
                <w:noProof/>
                <w:webHidden/>
              </w:rPr>
            </w:r>
            <w:r>
              <w:rPr>
                <w:noProof/>
                <w:webHidden/>
              </w:rPr>
              <w:fldChar w:fldCharType="separate"/>
            </w:r>
            <w:r>
              <w:rPr>
                <w:noProof/>
                <w:webHidden/>
              </w:rPr>
              <w:t>3</w:t>
            </w:r>
            <w:r>
              <w:rPr>
                <w:noProof/>
                <w:webHidden/>
              </w:rPr>
              <w:fldChar w:fldCharType="end"/>
            </w:r>
          </w:hyperlink>
        </w:p>
        <w:p w:rsidR="000A3780" w:rsidRDefault="000A3780">
          <w:pPr>
            <w:pStyle w:val="TOC1"/>
            <w:tabs>
              <w:tab w:val="right" w:leader="dot" w:pos="9350"/>
            </w:tabs>
            <w:rPr>
              <w:noProof/>
            </w:rPr>
          </w:pPr>
          <w:hyperlink w:anchor="_Toc306536815" w:history="1">
            <w:r w:rsidRPr="000A7CF9">
              <w:rPr>
                <w:rStyle w:val="Hyperlink"/>
                <w:noProof/>
              </w:rPr>
              <w:t>Strategic Objectives</w:t>
            </w:r>
            <w:r>
              <w:rPr>
                <w:noProof/>
                <w:webHidden/>
              </w:rPr>
              <w:tab/>
            </w:r>
            <w:r>
              <w:rPr>
                <w:noProof/>
                <w:webHidden/>
              </w:rPr>
              <w:fldChar w:fldCharType="begin"/>
            </w:r>
            <w:r>
              <w:rPr>
                <w:noProof/>
                <w:webHidden/>
              </w:rPr>
              <w:instrText xml:space="preserve"> PAGEREF _Toc306536815 \h </w:instrText>
            </w:r>
            <w:r>
              <w:rPr>
                <w:noProof/>
                <w:webHidden/>
              </w:rPr>
            </w:r>
            <w:r>
              <w:rPr>
                <w:noProof/>
                <w:webHidden/>
              </w:rPr>
              <w:fldChar w:fldCharType="separate"/>
            </w:r>
            <w:r>
              <w:rPr>
                <w:noProof/>
                <w:webHidden/>
              </w:rPr>
              <w:t>4</w:t>
            </w:r>
            <w:r>
              <w:rPr>
                <w:noProof/>
                <w:webHidden/>
              </w:rPr>
              <w:fldChar w:fldCharType="end"/>
            </w:r>
          </w:hyperlink>
        </w:p>
        <w:p w:rsidR="000A3780" w:rsidRDefault="000A3780">
          <w:pPr>
            <w:pStyle w:val="TOC1"/>
            <w:tabs>
              <w:tab w:val="right" w:leader="dot" w:pos="9350"/>
            </w:tabs>
            <w:rPr>
              <w:noProof/>
            </w:rPr>
          </w:pPr>
          <w:hyperlink w:anchor="_Toc306536816" w:history="1">
            <w:r w:rsidRPr="000A7CF9">
              <w:rPr>
                <w:rStyle w:val="Hyperlink"/>
                <w:noProof/>
              </w:rPr>
              <w:t>Criteria Definitions</w:t>
            </w:r>
            <w:r>
              <w:rPr>
                <w:noProof/>
                <w:webHidden/>
              </w:rPr>
              <w:tab/>
            </w:r>
            <w:r>
              <w:rPr>
                <w:noProof/>
                <w:webHidden/>
              </w:rPr>
              <w:fldChar w:fldCharType="begin"/>
            </w:r>
            <w:r>
              <w:rPr>
                <w:noProof/>
                <w:webHidden/>
              </w:rPr>
              <w:instrText xml:space="preserve"> PAGEREF _Toc306536816 \h </w:instrText>
            </w:r>
            <w:r>
              <w:rPr>
                <w:noProof/>
                <w:webHidden/>
              </w:rPr>
            </w:r>
            <w:r>
              <w:rPr>
                <w:noProof/>
                <w:webHidden/>
              </w:rPr>
              <w:fldChar w:fldCharType="separate"/>
            </w:r>
            <w:r>
              <w:rPr>
                <w:noProof/>
                <w:webHidden/>
              </w:rPr>
              <w:t>5</w:t>
            </w:r>
            <w:r>
              <w:rPr>
                <w:noProof/>
                <w:webHidden/>
              </w:rPr>
              <w:fldChar w:fldCharType="end"/>
            </w:r>
          </w:hyperlink>
        </w:p>
        <w:p w:rsidR="000A3780" w:rsidRDefault="000A3780">
          <w:pPr>
            <w:pStyle w:val="TOC2"/>
            <w:tabs>
              <w:tab w:val="right" w:leader="dot" w:pos="9350"/>
            </w:tabs>
            <w:rPr>
              <w:noProof/>
            </w:rPr>
          </w:pPr>
          <w:hyperlink w:anchor="_Toc306536817" w:history="1">
            <w:r w:rsidRPr="000A7CF9">
              <w:rPr>
                <w:rStyle w:val="Hyperlink"/>
                <w:noProof/>
              </w:rPr>
              <w:t>Benefits</w:t>
            </w:r>
            <w:r>
              <w:rPr>
                <w:noProof/>
                <w:webHidden/>
              </w:rPr>
              <w:tab/>
            </w:r>
            <w:r>
              <w:rPr>
                <w:noProof/>
                <w:webHidden/>
              </w:rPr>
              <w:fldChar w:fldCharType="begin"/>
            </w:r>
            <w:r>
              <w:rPr>
                <w:noProof/>
                <w:webHidden/>
              </w:rPr>
              <w:instrText xml:space="preserve"> PAGEREF _Toc306536817 \h </w:instrText>
            </w:r>
            <w:r>
              <w:rPr>
                <w:noProof/>
                <w:webHidden/>
              </w:rPr>
            </w:r>
            <w:r>
              <w:rPr>
                <w:noProof/>
                <w:webHidden/>
              </w:rPr>
              <w:fldChar w:fldCharType="separate"/>
            </w:r>
            <w:r>
              <w:rPr>
                <w:noProof/>
                <w:webHidden/>
              </w:rPr>
              <w:t>5</w:t>
            </w:r>
            <w:r>
              <w:rPr>
                <w:noProof/>
                <w:webHidden/>
              </w:rPr>
              <w:fldChar w:fldCharType="end"/>
            </w:r>
          </w:hyperlink>
        </w:p>
        <w:p w:rsidR="000A3780" w:rsidRDefault="000A3780">
          <w:pPr>
            <w:pStyle w:val="TOC2"/>
            <w:tabs>
              <w:tab w:val="right" w:leader="dot" w:pos="9350"/>
            </w:tabs>
            <w:rPr>
              <w:noProof/>
            </w:rPr>
          </w:pPr>
          <w:hyperlink w:anchor="_Toc306536818" w:history="1">
            <w:r w:rsidRPr="000A7CF9">
              <w:rPr>
                <w:rStyle w:val="Hyperlink"/>
                <w:noProof/>
              </w:rPr>
              <w:t>Opportunities</w:t>
            </w:r>
            <w:r>
              <w:rPr>
                <w:noProof/>
                <w:webHidden/>
              </w:rPr>
              <w:tab/>
            </w:r>
            <w:r>
              <w:rPr>
                <w:noProof/>
                <w:webHidden/>
              </w:rPr>
              <w:fldChar w:fldCharType="begin"/>
            </w:r>
            <w:r>
              <w:rPr>
                <w:noProof/>
                <w:webHidden/>
              </w:rPr>
              <w:instrText xml:space="preserve"> PAGEREF _Toc306536818 \h </w:instrText>
            </w:r>
            <w:r>
              <w:rPr>
                <w:noProof/>
                <w:webHidden/>
              </w:rPr>
            </w:r>
            <w:r>
              <w:rPr>
                <w:noProof/>
                <w:webHidden/>
              </w:rPr>
              <w:fldChar w:fldCharType="separate"/>
            </w:r>
            <w:r>
              <w:rPr>
                <w:noProof/>
                <w:webHidden/>
              </w:rPr>
              <w:t>5</w:t>
            </w:r>
            <w:r>
              <w:rPr>
                <w:noProof/>
                <w:webHidden/>
              </w:rPr>
              <w:fldChar w:fldCharType="end"/>
            </w:r>
          </w:hyperlink>
        </w:p>
        <w:p w:rsidR="000A3780" w:rsidRDefault="000A3780">
          <w:pPr>
            <w:pStyle w:val="TOC2"/>
            <w:tabs>
              <w:tab w:val="right" w:leader="dot" w:pos="9350"/>
            </w:tabs>
            <w:rPr>
              <w:noProof/>
            </w:rPr>
          </w:pPr>
          <w:hyperlink w:anchor="_Toc306536819" w:history="1">
            <w:r w:rsidRPr="000A7CF9">
              <w:rPr>
                <w:rStyle w:val="Hyperlink"/>
                <w:noProof/>
              </w:rPr>
              <w:t>Costs</w:t>
            </w:r>
            <w:r>
              <w:rPr>
                <w:noProof/>
                <w:webHidden/>
              </w:rPr>
              <w:tab/>
            </w:r>
            <w:r>
              <w:rPr>
                <w:noProof/>
                <w:webHidden/>
              </w:rPr>
              <w:fldChar w:fldCharType="begin"/>
            </w:r>
            <w:r>
              <w:rPr>
                <w:noProof/>
                <w:webHidden/>
              </w:rPr>
              <w:instrText xml:space="preserve"> PAGEREF _Toc306536819 \h </w:instrText>
            </w:r>
            <w:r>
              <w:rPr>
                <w:noProof/>
                <w:webHidden/>
              </w:rPr>
            </w:r>
            <w:r>
              <w:rPr>
                <w:noProof/>
                <w:webHidden/>
              </w:rPr>
              <w:fldChar w:fldCharType="separate"/>
            </w:r>
            <w:r>
              <w:rPr>
                <w:noProof/>
                <w:webHidden/>
              </w:rPr>
              <w:t>7</w:t>
            </w:r>
            <w:r>
              <w:rPr>
                <w:noProof/>
                <w:webHidden/>
              </w:rPr>
              <w:fldChar w:fldCharType="end"/>
            </w:r>
          </w:hyperlink>
        </w:p>
        <w:p w:rsidR="000A3780" w:rsidRDefault="000A3780">
          <w:pPr>
            <w:pStyle w:val="TOC2"/>
            <w:tabs>
              <w:tab w:val="right" w:leader="dot" w:pos="9350"/>
            </w:tabs>
            <w:rPr>
              <w:noProof/>
            </w:rPr>
          </w:pPr>
          <w:hyperlink w:anchor="_Toc306536820" w:history="1">
            <w:r w:rsidRPr="000A7CF9">
              <w:rPr>
                <w:rStyle w:val="Hyperlink"/>
                <w:noProof/>
              </w:rPr>
              <w:t>Risks</w:t>
            </w:r>
            <w:r>
              <w:rPr>
                <w:noProof/>
                <w:webHidden/>
              </w:rPr>
              <w:tab/>
            </w:r>
            <w:r>
              <w:rPr>
                <w:noProof/>
                <w:webHidden/>
              </w:rPr>
              <w:fldChar w:fldCharType="begin"/>
            </w:r>
            <w:r>
              <w:rPr>
                <w:noProof/>
                <w:webHidden/>
              </w:rPr>
              <w:instrText xml:space="preserve"> PAGEREF _Toc306536820 \h </w:instrText>
            </w:r>
            <w:r>
              <w:rPr>
                <w:noProof/>
                <w:webHidden/>
              </w:rPr>
            </w:r>
            <w:r>
              <w:rPr>
                <w:noProof/>
                <w:webHidden/>
              </w:rPr>
              <w:fldChar w:fldCharType="separate"/>
            </w:r>
            <w:r>
              <w:rPr>
                <w:noProof/>
                <w:webHidden/>
              </w:rPr>
              <w:t>8</w:t>
            </w:r>
            <w:r>
              <w:rPr>
                <w:noProof/>
                <w:webHidden/>
              </w:rPr>
              <w:fldChar w:fldCharType="end"/>
            </w:r>
          </w:hyperlink>
        </w:p>
        <w:p w:rsidR="000A3780" w:rsidRDefault="000A3780">
          <w:pPr>
            <w:pStyle w:val="TOC1"/>
            <w:tabs>
              <w:tab w:val="right" w:leader="dot" w:pos="9350"/>
            </w:tabs>
            <w:rPr>
              <w:noProof/>
            </w:rPr>
          </w:pPr>
          <w:hyperlink w:anchor="_Toc306536821" w:history="1">
            <w:r w:rsidRPr="000A7CF9">
              <w:rPr>
                <w:rStyle w:val="Hyperlink"/>
                <w:noProof/>
              </w:rPr>
              <w:t>Results</w:t>
            </w:r>
            <w:r>
              <w:rPr>
                <w:noProof/>
                <w:webHidden/>
              </w:rPr>
              <w:tab/>
            </w:r>
            <w:r>
              <w:rPr>
                <w:noProof/>
                <w:webHidden/>
              </w:rPr>
              <w:fldChar w:fldCharType="begin"/>
            </w:r>
            <w:r>
              <w:rPr>
                <w:noProof/>
                <w:webHidden/>
              </w:rPr>
              <w:instrText xml:space="preserve"> PAGEREF _Toc306536821 \h </w:instrText>
            </w:r>
            <w:r>
              <w:rPr>
                <w:noProof/>
                <w:webHidden/>
              </w:rPr>
            </w:r>
            <w:r>
              <w:rPr>
                <w:noProof/>
                <w:webHidden/>
              </w:rPr>
              <w:fldChar w:fldCharType="separate"/>
            </w:r>
            <w:r>
              <w:rPr>
                <w:noProof/>
                <w:webHidden/>
              </w:rPr>
              <w:t>9</w:t>
            </w:r>
            <w:r>
              <w:rPr>
                <w:noProof/>
                <w:webHidden/>
              </w:rPr>
              <w:fldChar w:fldCharType="end"/>
            </w:r>
          </w:hyperlink>
        </w:p>
        <w:p w:rsidR="000A3780" w:rsidRDefault="000A3780">
          <w:pPr>
            <w:pStyle w:val="TOC2"/>
            <w:tabs>
              <w:tab w:val="right" w:leader="dot" w:pos="9350"/>
            </w:tabs>
            <w:rPr>
              <w:noProof/>
            </w:rPr>
          </w:pPr>
          <w:hyperlink w:anchor="_Toc306536822" w:history="1">
            <w:r w:rsidRPr="000A7CF9">
              <w:rPr>
                <w:rStyle w:val="Hyperlink"/>
                <w:noProof/>
              </w:rPr>
              <w:t>Criteria Results</w:t>
            </w:r>
            <w:r>
              <w:rPr>
                <w:noProof/>
                <w:webHidden/>
              </w:rPr>
              <w:tab/>
            </w:r>
            <w:r>
              <w:rPr>
                <w:noProof/>
                <w:webHidden/>
              </w:rPr>
              <w:fldChar w:fldCharType="begin"/>
            </w:r>
            <w:r>
              <w:rPr>
                <w:noProof/>
                <w:webHidden/>
              </w:rPr>
              <w:instrText xml:space="preserve"> PAGEREF _Toc306536822 \h </w:instrText>
            </w:r>
            <w:r>
              <w:rPr>
                <w:noProof/>
                <w:webHidden/>
              </w:rPr>
            </w:r>
            <w:r>
              <w:rPr>
                <w:noProof/>
                <w:webHidden/>
              </w:rPr>
              <w:fldChar w:fldCharType="separate"/>
            </w:r>
            <w:r>
              <w:rPr>
                <w:noProof/>
                <w:webHidden/>
              </w:rPr>
              <w:t>9</w:t>
            </w:r>
            <w:r>
              <w:rPr>
                <w:noProof/>
                <w:webHidden/>
              </w:rPr>
              <w:fldChar w:fldCharType="end"/>
            </w:r>
          </w:hyperlink>
        </w:p>
        <w:p w:rsidR="000A3780" w:rsidRDefault="000A3780">
          <w:pPr>
            <w:pStyle w:val="TOC2"/>
            <w:tabs>
              <w:tab w:val="right" w:leader="dot" w:pos="9350"/>
            </w:tabs>
            <w:rPr>
              <w:noProof/>
            </w:rPr>
          </w:pPr>
          <w:hyperlink w:anchor="_Toc306536823" w:history="1">
            <w:r w:rsidRPr="000A7CF9">
              <w:rPr>
                <w:rStyle w:val="Hyperlink"/>
                <w:noProof/>
              </w:rPr>
              <w:t>Ratings Model</w:t>
            </w:r>
            <w:r>
              <w:rPr>
                <w:noProof/>
                <w:webHidden/>
              </w:rPr>
              <w:tab/>
            </w:r>
            <w:r>
              <w:rPr>
                <w:noProof/>
                <w:webHidden/>
              </w:rPr>
              <w:fldChar w:fldCharType="begin"/>
            </w:r>
            <w:r>
              <w:rPr>
                <w:noProof/>
                <w:webHidden/>
              </w:rPr>
              <w:instrText xml:space="preserve"> PAGEREF _Toc306536823 \h </w:instrText>
            </w:r>
            <w:r>
              <w:rPr>
                <w:noProof/>
                <w:webHidden/>
              </w:rPr>
            </w:r>
            <w:r>
              <w:rPr>
                <w:noProof/>
                <w:webHidden/>
              </w:rPr>
              <w:fldChar w:fldCharType="separate"/>
            </w:r>
            <w:r>
              <w:rPr>
                <w:noProof/>
                <w:webHidden/>
              </w:rPr>
              <w:t>10</w:t>
            </w:r>
            <w:r>
              <w:rPr>
                <w:noProof/>
                <w:webHidden/>
              </w:rPr>
              <w:fldChar w:fldCharType="end"/>
            </w:r>
          </w:hyperlink>
        </w:p>
        <w:p w:rsidR="000A3780" w:rsidRDefault="000A3780">
          <w:pPr>
            <w:pStyle w:val="TOC2"/>
            <w:tabs>
              <w:tab w:val="right" w:leader="dot" w:pos="9350"/>
            </w:tabs>
            <w:rPr>
              <w:noProof/>
            </w:rPr>
          </w:pPr>
          <w:hyperlink w:anchor="_Toc306536824" w:history="1">
            <w:r w:rsidRPr="000A7CF9">
              <w:rPr>
                <w:rStyle w:val="Hyperlink"/>
                <w:noProof/>
              </w:rPr>
              <w:t>Top-Level Results</w:t>
            </w:r>
            <w:r>
              <w:rPr>
                <w:noProof/>
                <w:webHidden/>
              </w:rPr>
              <w:tab/>
            </w:r>
            <w:r>
              <w:rPr>
                <w:noProof/>
                <w:webHidden/>
              </w:rPr>
              <w:fldChar w:fldCharType="begin"/>
            </w:r>
            <w:r>
              <w:rPr>
                <w:noProof/>
                <w:webHidden/>
              </w:rPr>
              <w:instrText xml:space="preserve"> PAGEREF _Toc306536824 \h </w:instrText>
            </w:r>
            <w:r>
              <w:rPr>
                <w:noProof/>
                <w:webHidden/>
              </w:rPr>
            </w:r>
            <w:r>
              <w:rPr>
                <w:noProof/>
                <w:webHidden/>
              </w:rPr>
              <w:fldChar w:fldCharType="separate"/>
            </w:r>
            <w:r>
              <w:rPr>
                <w:noProof/>
                <w:webHidden/>
              </w:rPr>
              <w:t>11</w:t>
            </w:r>
            <w:r>
              <w:rPr>
                <w:noProof/>
                <w:webHidden/>
              </w:rPr>
              <w:fldChar w:fldCharType="end"/>
            </w:r>
          </w:hyperlink>
        </w:p>
        <w:p w:rsidR="000A3780" w:rsidRDefault="000A3780">
          <w:pPr>
            <w:pStyle w:val="TOC1"/>
            <w:tabs>
              <w:tab w:val="right" w:leader="dot" w:pos="9350"/>
            </w:tabs>
            <w:rPr>
              <w:noProof/>
            </w:rPr>
          </w:pPr>
          <w:hyperlink w:anchor="_Toc306536825" w:history="1">
            <w:r w:rsidRPr="000A7CF9">
              <w:rPr>
                <w:rStyle w:val="Hyperlink"/>
                <w:noProof/>
              </w:rPr>
              <w:t>Sensitivity Analysis</w:t>
            </w:r>
            <w:r>
              <w:rPr>
                <w:noProof/>
                <w:webHidden/>
              </w:rPr>
              <w:tab/>
            </w:r>
            <w:r>
              <w:rPr>
                <w:noProof/>
                <w:webHidden/>
              </w:rPr>
              <w:fldChar w:fldCharType="begin"/>
            </w:r>
            <w:r>
              <w:rPr>
                <w:noProof/>
                <w:webHidden/>
              </w:rPr>
              <w:instrText xml:space="preserve"> PAGEREF _Toc306536825 \h </w:instrText>
            </w:r>
            <w:r>
              <w:rPr>
                <w:noProof/>
                <w:webHidden/>
              </w:rPr>
            </w:r>
            <w:r>
              <w:rPr>
                <w:noProof/>
                <w:webHidden/>
              </w:rPr>
              <w:fldChar w:fldCharType="separate"/>
            </w:r>
            <w:r>
              <w:rPr>
                <w:noProof/>
                <w:webHidden/>
              </w:rPr>
              <w:t>12</w:t>
            </w:r>
            <w:r>
              <w:rPr>
                <w:noProof/>
                <w:webHidden/>
              </w:rPr>
              <w:fldChar w:fldCharType="end"/>
            </w:r>
          </w:hyperlink>
        </w:p>
        <w:p w:rsidR="000A3780" w:rsidRDefault="000A3780">
          <w:pPr>
            <w:pStyle w:val="TOC1"/>
            <w:tabs>
              <w:tab w:val="right" w:leader="dot" w:pos="9350"/>
            </w:tabs>
            <w:rPr>
              <w:noProof/>
            </w:rPr>
          </w:pPr>
          <w:hyperlink w:anchor="_Toc306536826" w:history="1">
            <w:r w:rsidRPr="000A7CF9">
              <w:rPr>
                <w:rStyle w:val="Hyperlink"/>
                <w:noProof/>
              </w:rPr>
              <w:t>Conclusion</w:t>
            </w:r>
            <w:r>
              <w:rPr>
                <w:noProof/>
                <w:webHidden/>
              </w:rPr>
              <w:tab/>
            </w:r>
            <w:r>
              <w:rPr>
                <w:noProof/>
                <w:webHidden/>
              </w:rPr>
              <w:fldChar w:fldCharType="begin"/>
            </w:r>
            <w:r>
              <w:rPr>
                <w:noProof/>
                <w:webHidden/>
              </w:rPr>
              <w:instrText xml:space="preserve"> PAGEREF _Toc306536826 \h </w:instrText>
            </w:r>
            <w:r>
              <w:rPr>
                <w:noProof/>
                <w:webHidden/>
              </w:rPr>
            </w:r>
            <w:r>
              <w:rPr>
                <w:noProof/>
                <w:webHidden/>
              </w:rPr>
              <w:fldChar w:fldCharType="separate"/>
            </w:r>
            <w:r>
              <w:rPr>
                <w:noProof/>
                <w:webHidden/>
              </w:rPr>
              <w:t>13</w:t>
            </w:r>
            <w:r>
              <w:rPr>
                <w:noProof/>
                <w:webHidden/>
              </w:rPr>
              <w:fldChar w:fldCharType="end"/>
            </w:r>
          </w:hyperlink>
        </w:p>
        <w:p w:rsidR="00684ED5" w:rsidRDefault="00CF665C">
          <w:r>
            <w:rPr>
              <w:b/>
              <w:bCs/>
              <w:noProof/>
            </w:rPr>
            <w:fldChar w:fldCharType="end"/>
          </w:r>
        </w:p>
      </w:sdtContent>
    </w:sdt>
    <w:p w:rsidR="00D0631C" w:rsidRDefault="00D0631C">
      <w:pPr>
        <w:rPr>
          <w:rFonts w:asciiTheme="majorHAnsi" w:eastAsiaTheme="majorEastAsia" w:hAnsiTheme="majorHAnsi" w:cstheme="majorBidi"/>
          <w:b/>
          <w:bCs/>
          <w:color w:val="365F91" w:themeColor="accent1" w:themeShade="BF"/>
          <w:sz w:val="28"/>
          <w:szCs w:val="28"/>
        </w:rPr>
      </w:pPr>
      <w:r>
        <w:br w:type="page"/>
      </w:r>
      <w:bookmarkStart w:id="0" w:name="_GoBack"/>
      <w:bookmarkEnd w:id="0"/>
    </w:p>
    <w:p w:rsidR="004D2C5B" w:rsidRDefault="004D2C5B" w:rsidP="00890373">
      <w:pPr>
        <w:pStyle w:val="Heading1"/>
        <w:spacing w:line="480" w:lineRule="auto"/>
      </w:pPr>
      <w:bookmarkStart w:id="1" w:name="_Toc306536813"/>
      <w:r>
        <w:lastRenderedPageBreak/>
        <w:t>Introduction</w:t>
      </w:r>
      <w:bookmarkEnd w:id="1"/>
    </w:p>
    <w:p w:rsidR="004D2C5B" w:rsidRDefault="004D2C5B" w:rsidP="00890373">
      <w:pPr>
        <w:spacing w:line="480" w:lineRule="auto"/>
      </w:pPr>
      <w:r>
        <w:tab/>
        <w:t xml:space="preserve">The National Football League (NFL) currently operates a 16 game regular season with a 4 game pre-season.  A major point of contention in the recently settled NFL labor dispute and lockout was the proposal by </w:t>
      </w:r>
      <w:r w:rsidR="00F0394E">
        <w:t xml:space="preserve">NFL commissioner </w:t>
      </w:r>
      <w:r>
        <w:t xml:space="preserve">Roger </w:t>
      </w:r>
      <w:proofErr w:type="spellStart"/>
      <w:r>
        <w:t>Goodell</w:t>
      </w:r>
      <w:proofErr w:type="spellEnd"/>
      <w:r>
        <w:t xml:space="preserve"> to extend the regular season to 18 games while shortening the pre-season to 2 games.  This course of action was met with b</w:t>
      </w:r>
      <w:r w:rsidR="009149DC">
        <w:t xml:space="preserve">oth praise and condemnation from both sides of the labor dispute.  In general, owners supported the proposal to extend the regular season and shorten the preseason while players strongly opposed the plan citing increased risk of injury during regular season games.  The NFL’s customers (i.e. fans) largely supported the proposal to extend the regular season.  </w:t>
      </w:r>
    </w:p>
    <w:p w:rsidR="009149DC" w:rsidRDefault="009149DC" w:rsidP="00890373">
      <w:pPr>
        <w:spacing w:line="480" w:lineRule="auto"/>
      </w:pPr>
      <w:r>
        <w:tab/>
        <w:t xml:space="preserve">Under the current NFL schedule, 4 preseason games precede a 16 game regular season containing 1 bye week.  Preseason games are treated as exhibition and do not count towards a team’s final record and likelihood of making the playoffs.  During preseason games, most players on the starting lineup see limited playing time while the coaches try to evaluate personnel and determine which players will make the 53 man roster for the start of the regular season.  </w:t>
      </w:r>
      <w:r w:rsidR="009D5E1C">
        <w:t xml:space="preserve">Season ticket holders are forced to purchase preseason tickets at face value as part of their overall package and generally receive less value for their money, as preseason games are not as exciting as regular season games.  </w:t>
      </w:r>
    </w:p>
    <w:p w:rsidR="009D5E1C" w:rsidRDefault="009D5E1C" w:rsidP="00890373">
      <w:pPr>
        <w:spacing w:line="480" w:lineRule="auto"/>
      </w:pPr>
      <w:r>
        <w:tab/>
        <w:t xml:space="preserve">Under the proposed schedule, 2 preseason games will precede an 18 game regular season containing 2 bye weeks.  The argument is that the total number of games will remain the same for players while increasing the value of the games played for the fans.  An additional bye week is meant to give players more time to rest and heal from injuries during the season and negate the physical toll of playing 2 more regular season games vs. preseason games.  </w:t>
      </w:r>
    </w:p>
    <w:p w:rsidR="00890373" w:rsidRDefault="00890373">
      <w:pPr>
        <w:rPr>
          <w:rFonts w:asciiTheme="majorHAnsi" w:eastAsiaTheme="majorEastAsia" w:hAnsiTheme="majorHAnsi" w:cstheme="majorBidi"/>
          <w:b/>
          <w:bCs/>
          <w:color w:val="365F91" w:themeColor="accent1" w:themeShade="BF"/>
          <w:sz w:val="28"/>
          <w:szCs w:val="28"/>
        </w:rPr>
      </w:pPr>
      <w:r>
        <w:br w:type="page"/>
      </w:r>
    </w:p>
    <w:p w:rsidR="001F5C0E" w:rsidRDefault="001F5C0E" w:rsidP="00890373">
      <w:pPr>
        <w:pStyle w:val="Heading1"/>
      </w:pPr>
      <w:bookmarkStart w:id="2" w:name="_Toc306536814"/>
      <w:r>
        <w:lastRenderedPageBreak/>
        <w:t>Model</w:t>
      </w:r>
      <w:bookmarkEnd w:id="2"/>
    </w:p>
    <w:p w:rsidR="006D6786" w:rsidRDefault="006D6786" w:rsidP="006D6786">
      <w:pPr>
        <w:spacing w:line="480" w:lineRule="auto"/>
        <w:ind w:firstLine="720"/>
        <w:jc w:val="center"/>
      </w:pPr>
      <w:r>
        <w:rPr>
          <w:noProof/>
        </w:rPr>
        <w:drawing>
          <wp:inline distT="0" distB="0" distL="0" distR="0">
            <wp:extent cx="3626107" cy="3200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3626107" cy="3200400"/>
                    </a:xfrm>
                    <a:prstGeom prst="rect">
                      <a:avLst/>
                    </a:prstGeom>
                  </pic:spPr>
                </pic:pic>
              </a:graphicData>
            </a:graphic>
          </wp:inline>
        </w:drawing>
      </w:r>
    </w:p>
    <w:p w:rsidR="006D6786" w:rsidRDefault="001F5C0E" w:rsidP="001F5C0E">
      <w:pPr>
        <w:spacing w:line="480" w:lineRule="auto"/>
        <w:ind w:firstLine="720"/>
      </w:pPr>
      <w:r>
        <w:t>The model created to determine which alternative the NFL should choose was setup by creating a goal node linked to the 3 strategic Objectives.  A cluster containing the Benefits, Opportunities, Costs, and Risks (BOCR) criteria was created.  Each BOCR is a subnet.  The first level of each subnet contains a cluster with control criteria.  Each control criteria is then given a priority based upon a decision network within t</w:t>
      </w:r>
      <w:r w:rsidR="00226FA9">
        <w:t>he node.  B</w:t>
      </w:r>
      <w:r>
        <w:t xml:space="preserve">elow </w:t>
      </w:r>
      <w:r w:rsidR="00226FA9">
        <w:t xml:space="preserve">are the </w:t>
      </w:r>
      <w:r>
        <w:t xml:space="preserve">descriptions of the Strategic Criteria, Benefits, Opportunities, Costs, </w:t>
      </w:r>
      <w:r w:rsidR="00226FA9">
        <w:t>and Risks</w:t>
      </w:r>
      <w:r>
        <w:t xml:space="preserve">, and the nodes that are </w:t>
      </w:r>
      <w:r w:rsidR="00226FA9">
        <w:t xml:space="preserve">contained </w:t>
      </w:r>
      <w:r>
        <w:t xml:space="preserve">below </w:t>
      </w:r>
      <w:r w:rsidR="00226FA9">
        <w:t>each</w:t>
      </w:r>
      <w:r>
        <w:t xml:space="preserve"> control criteria.  </w:t>
      </w:r>
    </w:p>
    <w:tbl>
      <w:tblPr>
        <w:tblStyle w:val="MediumGrid1-Accent3"/>
        <w:tblW w:w="0" w:type="auto"/>
        <w:tblLook w:val="04A0" w:firstRow="1" w:lastRow="0" w:firstColumn="1" w:lastColumn="0" w:noHBand="0" w:noVBand="1"/>
      </w:tblPr>
      <w:tblGrid>
        <w:gridCol w:w="2898"/>
        <w:gridCol w:w="6570"/>
      </w:tblGrid>
      <w:tr w:rsidR="006D6786" w:rsidTr="00EC3F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rsidR="006D6786" w:rsidRPr="003948F3" w:rsidRDefault="006D6786" w:rsidP="00EC3F5E">
            <w:pPr>
              <w:rPr>
                <w:sz w:val="28"/>
                <w:szCs w:val="28"/>
              </w:rPr>
            </w:pPr>
            <w:r w:rsidRPr="003948F3">
              <w:rPr>
                <w:sz w:val="28"/>
                <w:szCs w:val="28"/>
              </w:rPr>
              <w:t>BENEFITS:</w:t>
            </w:r>
          </w:p>
        </w:tc>
        <w:tc>
          <w:tcPr>
            <w:tcW w:w="6570" w:type="dxa"/>
          </w:tcPr>
          <w:p w:rsidR="006D6786" w:rsidRDefault="006D6786" w:rsidP="00EC3F5E">
            <w:pPr>
              <w:cnfStyle w:val="100000000000" w:firstRow="1" w:lastRow="0" w:firstColumn="0" w:lastColumn="0" w:oddVBand="0" w:evenVBand="0" w:oddHBand="0" w:evenHBand="0" w:firstRowFirstColumn="0" w:firstRowLastColumn="0" w:lastRowFirstColumn="0" w:lastRowLastColumn="0"/>
            </w:pPr>
          </w:p>
        </w:tc>
      </w:tr>
      <w:tr w:rsidR="006D6786" w:rsidTr="00EC3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rsidR="006D6786" w:rsidRPr="006D6786" w:rsidRDefault="006D6786" w:rsidP="00EC3F5E">
            <w:pPr>
              <w:rPr>
                <w:sz w:val="24"/>
              </w:rPr>
            </w:pPr>
            <w:r w:rsidRPr="006D6786">
              <w:rPr>
                <w:sz w:val="24"/>
              </w:rPr>
              <w:t>Control Criteria</w:t>
            </w:r>
          </w:p>
        </w:tc>
        <w:tc>
          <w:tcPr>
            <w:tcW w:w="6570" w:type="dxa"/>
          </w:tcPr>
          <w:p w:rsidR="006D6786" w:rsidRPr="006D6786" w:rsidRDefault="006D6786" w:rsidP="00EC3F5E">
            <w:pPr>
              <w:cnfStyle w:val="000000100000" w:firstRow="0" w:lastRow="0" w:firstColumn="0" w:lastColumn="0" w:oddVBand="0" w:evenVBand="0" w:oddHBand="1" w:evenHBand="0" w:firstRowFirstColumn="0" w:firstRowLastColumn="0" w:lastRowFirstColumn="0" w:lastRowLastColumn="0"/>
              <w:rPr>
                <w:b/>
                <w:sz w:val="24"/>
              </w:rPr>
            </w:pPr>
            <w:r w:rsidRPr="006D6786">
              <w:rPr>
                <w:b/>
                <w:sz w:val="24"/>
              </w:rPr>
              <w:t>Nodes in Decision Network</w:t>
            </w:r>
          </w:p>
        </w:tc>
      </w:tr>
      <w:tr w:rsidR="006D6786" w:rsidTr="00EC3F5E">
        <w:tc>
          <w:tcPr>
            <w:cnfStyle w:val="001000000000" w:firstRow="0" w:lastRow="0" w:firstColumn="1" w:lastColumn="0" w:oddVBand="0" w:evenVBand="0" w:oddHBand="0" w:evenHBand="0" w:firstRowFirstColumn="0" w:firstRowLastColumn="0" w:lastRowFirstColumn="0" w:lastRowLastColumn="0"/>
            <w:tcW w:w="2898" w:type="dxa"/>
          </w:tcPr>
          <w:p w:rsidR="006D6786" w:rsidRPr="006D6786" w:rsidRDefault="006D6786" w:rsidP="00EC3F5E">
            <w:r w:rsidRPr="006D6786">
              <w:t>Economic</w:t>
            </w:r>
          </w:p>
        </w:tc>
        <w:tc>
          <w:tcPr>
            <w:tcW w:w="6570" w:type="dxa"/>
          </w:tcPr>
          <w:p w:rsidR="006D6786" w:rsidRPr="006D6786" w:rsidRDefault="006D6786" w:rsidP="00EC3F5E">
            <w:pPr>
              <w:cnfStyle w:val="000000000000" w:firstRow="0" w:lastRow="0" w:firstColumn="0" w:lastColumn="0" w:oddVBand="0" w:evenVBand="0" w:oddHBand="0" w:evenHBand="0" w:firstRowFirstColumn="0" w:firstRowLastColumn="0" w:lastRowFirstColumn="0" w:lastRowLastColumn="0"/>
            </w:pPr>
          </w:p>
        </w:tc>
      </w:tr>
      <w:tr w:rsidR="006D6786" w:rsidTr="00EC3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rsidR="006D6786" w:rsidRPr="006D6786" w:rsidRDefault="006D6786" w:rsidP="00EC3F5E"/>
        </w:tc>
        <w:tc>
          <w:tcPr>
            <w:tcW w:w="6570" w:type="dxa"/>
          </w:tcPr>
          <w:p w:rsidR="006D6786" w:rsidRPr="006D6786" w:rsidRDefault="006D6786" w:rsidP="00EC3F5E">
            <w:pPr>
              <w:cnfStyle w:val="000000100000" w:firstRow="0" w:lastRow="0" w:firstColumn="0" w:lastColumn="0" w:oddVBand="0" w:evenVBand="0" w:oddHBand="1" w:evenHBand="0" w:firstRowFirstColumn="0" w:firstRowLastColumn="0" w:lastRowFirstColumn="0" w:lastRowLastColumn="0"/>
            </w:pPr>
            <w:r>
              <w:t>Merchandise Sold at Games</w:t>
            </w:r>
          </w:p>
        </w:tc>
      </w:tr>
      <w:tr w:rsidR="006D6786" w:rsidTr="00EC3F5E">
        <w:tc>
          <w:tcPr>
            <w:cnfStyle w:val="001000000000" w:firstRow="0" w:lastRow="0" w:firstColumn="1" w:lastColumn="0" w:oddVBand="0" w:evenVBand="0" w:oddHBand="0" w:evenHBand="0" w:firstRowFirstColumn="0" w:firstRowLastColumn="0" w:lastRowFirstColumn="0" w:lastRowLastColumn="0"/>
            <w:tcW w:w="2898" w:type="dxa"/>
          </w:tcPr>
          <w:p w:rsidR="006D6786" w:rsidRPr="006D6786" w:rsidRDefault="006D6786" w:rsidP="00EC3F5E"/>
        </w:tc>
        <w:tc>
          <w:tcPr>
            <w:tcW w:w="6570" w:type="dxa"/>
          </w:tcPr>
          <w:p w:rsidR="006D6786" w:rsidRDefault="006D6786" w:rsidP="00EC3F5E">
            <w:pPr>
              <w:cnfStyle w:val="000000000000" w:firstRow="0" w:lastRow="0" w:firstColumn="0" w:lastColumn="0" w:oddVBand="0" w:evenVBand="0" w:oddHBand="0" w:evenHBand="0" w:firstRowFirstColumn="0" w:firstRowLastColumn="0" w:lastRowFirstColumn="0" w:lastRowLastColumn="0"/>
            </w:pPr>
            <w:r>
              <w:t>Tickets</w:t>
            </w:r>
          </w:p>
        </w:tc>
      </w:tr>
      <w:tr w:rsidR="006D6786" w:rsidTr="00EC3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rsidR="006D6786" w:rsidRPr="006D6786" w:rsidRDefault="006D6786" w:rsidP="00EC3F5E"/>
        </w:tc>
        <w:tc>
          <w:tcPr>
            <w:tcW w:w="6570" w:type="dxa"/>
          </w:tcPr>
          <w:p w:rsidR="006D6786" w:rsidRDefault="006D6786" w:rsidP="00EC3F5E">
            <w:pPr>
              <w:cnfStyle w:val="000000100000" w:firstRow="0" w:lastRow="0" w:firstColumn="0" w:lastColumn="0" w:oddVBand="0" w:evenVBand="0" w:oddHBand="1" w:evenHBand="0" w:firstRowFirstColumn="0" w:firstRowLastColumn="0" w:lastRowFirstColumn="0" w:lastRowLastColumn="0"/>
            </w:pPr>
            <w:r>
              <w:t>TV Rights</w:t>
            </w:r>
          </w:p>
        </w:tc>
      </w:tr>
      <w:tr w:rsidR="006D6786" w:rsidTr="00EC3F5E">
        <w:tc>
          <w:tcPr>
            <w:cnfStyle w:val="001000000000" w:firstRow="0" w:lastRow="0" w:firstColumn="1" w:lastColumn="0" w:oddVBand="0" w:evenVBand="0" w:oddHBand="0" w:evenHBand="0" w:firstRowFirstColumn="0" w:firstRowLastColumn="0" w:lastRowFirstColumn="0" w:lastRowLastColumn="0"/>
            <w:tcW w:w="2898" w:type="dxa"/>
          </w:tcPr>
          <w:p w:rsidR="006D6786" w:rsidRPr="006D6786" w:rsidRDefault="006D6786" w:rsidP="00EC3F5E"/>
        </w:tc>
        <w:tc>
          <w:tcPr>
            <w:tcW w:w="6570" w:type="dxa"/>
          </w:tcPr>
          <w:p w:rsidR="006D6786" w:rsidRDefault="006D6786" w:rsidP="00EC3F5E">
            <w:pPr>
              <w:cnfStyle w:val="000000000000" w:firstRow="0" w:lastRow="0" w:firstColumn="0" w:lastColumn="0" w:oddVBand="0" w:evenVBand="0" w:oddHBand="0" w:evenHBand="0" w:firstRowFirstColumn="0" w:firstRowLastColumn="0" w:lastRowFirstColumn="0" w:lastRowLastColumn="0"/>
            </w:pPr>
            <w:r>
              <w:t>Bar and Restaurant Sales</w:t>
            </w:r>
          </w:p>
        </w:tc>
      </w:tr>
      <w:tr w:rsidR="006D6786" w:rsidTr="00EC3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rsidR="006D6786" w:rsidRPr="006D6786" w:rsidRDefault="006D6786" w:rsidP="00EC3F5E">
            <w:r w:rsidRPr="006D6786">
              <w:t>Social</w:t>
            </w:r>
          </w:p>
        </w:tc>
        <w:tc>
          <w:tcPr>
            <w:tcW w:w="6570" w:type="dxa"/>
          </w:tcPr>
          <w:p w:rsidR="006D6786" w:rsidRDefault="006D6786" w:rsidP="00EC3F5E">
            <w:pPr>
              <w:cnfStyle w:val="000000100000" w:firstRow="0" w:lastRow="0" w:firstColumn="0" w:lastColumn="0" w:oddVBand="0" w:evenVBand="0" w:oddHBand="1" w:evenHBand="0" w:firstRowFirstColumn="0" w:firstRowLastColumn="0" w:lastRowFirstColumn="0" w:lastRowLastColumn="0"/>
            </w:pPr>
          </w:p>
        </w:tc>
      </w:tr>
      <w:tr w:rsidR="006D6786" w:rsidTr="00EC3F5E">
        <w:tc>
          <w:tcPr>
            <w:cnfStyle w:val="001000000000" w:firstRow="0" w:lastRow="0" w:firstColumn="1" w:lastColumn="0" w:oddVBand="0" w:evenVBand="0" w:oddHBand="0" w:evenHBand="0" w:firstRowFirstColumn="0" w:firstRowLastColumn="0" w:lastRowFirstColumn="0" w:lastRowLastColumn="0"/>
            <w:tcW w:w="2898" w:type="dxa"/>
          </w:tcPr>
          <w:p w:rsidR="006D6786" w:rsidRDefault="006D6786" w:rsidP="00EC3F5E">
            <w:pPr>
              <w:rPr>
                <w:b w:val="0"/>
              </w:rPr>
            </w:pPr>
          </w:p>
        </w:tc>
        <w:tc>
          <w:tcPr>
            <w:tcW w:w="6570" w:type="dxa"/>
          </w:tcPr>
          <w:p w:rsidR="006D6786" w:rsidRDefault="006D6786" w:rsidP="00EC3F5E">
            <w:pPr>
              <w:cnfStyle w:val="000000000000" w:firstRow="0" w:lastRow="0" w:firstColumn="0" w:lastColumn="0" w:oddVBand="0" w:evenVBand="0" w:oddHBand="0" w:evenHBand="0" w:firstRowFirstColumn="0" w:firstRowLastColumn="0" w:lastRowFirstColumn="0" w:lastRowLastColumn="0"/>
            </w:pPr>
            <w:r>
              <w:t>Fan Satisfaction</w:t>
            </w:r>
          </w:p>
        </w:tc>
      </w:tr>
      <w:tr w:rsidR="006D6786" w:rsidTr="00EC3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rsidR="006D6786" w:rsidRDefault="006D6786" w:rsidP="00EC3F5E">
            <w:pPr>
              <w:rPr>
                <w:b w:val="0"/>
              </w:rPr>
            </w:pPr>
          </w:p>
        </w:tc>
        <w:tc>
          <w:tcPr>
            <w:tcW w:w="6570" w:type="dxa"/>
          </w:tcPr>
          <w:p w:rsidR="006D6786" w:rsidRDefault="006D6786" w:rsidP="00EC3F5E">
            <w:pPr>
              <w:cnfStyle w:val="000000100000" w:firstRow="0" w:lastRow="0" w:firstColumn="0" w:lastColumn="0" w:oddVBand="0" w:evenVBand="0" w:oddHBand="1" w:evenHBand="0" w:firstRowFirstColumn="0" w:firstRowLastColumn="0" w:lastRowFirstColumn="0" w:lastRowLastColumn="0"/>
            </w:pPr>
            <w:r>
              <w:t>League Popularity</w:t>
            </w:r>
          </w:p>
        </w:tc>
      </w:tr>
    </w:tbl>
    <w:p w:rsidR="006D6786" w:rsidRDefault="006D6786" w:rsidP="00DF2312">
      <w:pPr>
        <w:spacing w:line="480" w:lineRule="auto"/>
      </w:pPr>
    </w:p>
    <w:tbl>
      <w:tblPr>
        <w:tblStyle w:val="MediumGrid1-Accent1"/>
        <w:tblW w:w="0" w:type="auto"/>
        <w:tblLook w:val="04A0" w:firstRow="1" w:lastRow="0" w:firstColumn="1" w:lastColumn="0" w:noHBand="0" w:noVBand="1"/>
      </w:tblPr>
      <w:tblGrid>
        <w:gridCol w:w="2898"/>
        <w:gridCol w:w="6570"/>
      </w:tblGrid>
      <w:tr w:rsidR="00DF2312" w:rsidTr="00DF23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rsidR="00DF2312" w:rsidRPr="003948F3" w:rsidRDefault="00DF2312" w:rsidP="00EC3F5E">
            <w:pPr>
              <w:rPr>
                <w:sz w:val="28"/>
                <w:szCs w:val="28"/>
              </w:rPr>
            </w:pPr>
            <w:r>
              <w:rPr>
                <w:sz w:val="28"/>
                <w:szCs w:val="28"/>
              </w:rPr>
              <w:lastRenderedPageBreak/>
              <w:t>OPPORTUNITIES</w:t>
            </w:r>
            <w:r w:rsidRPr="003948F3">
              <w:rPr>
                <w:sz w:val="28"/>
                <w:szCs w:val="28"/>
              </w:rPr>
              <w:t>:</w:t>
            </w:r>
          </w:p>
        </w:tc>
        <w:tc>
          <w:tcPr>
            <w:tcW w:w="6570" w:type="dxa"/>
          </w:tcPr>
          <w:p w:rsidR="00DF2312" w:rsidRDefault="00DF2312" w:rsidP="00EC3F5E">
            <w:pPr>
              <w:cnfStyle w:val="100000000000" w:firstRow="1" w:lastRow="0" w:firstColumn="0" w:lastColumn="0" w:oddVBand="0" w:evenVBand="0" w:oddHBand="0" w:evenHBand="0" w:firstRowFirstColumn="0" w:firstRowLastColumn="0" w:lastRowFirstColumn="0" w:lastRowLastColumn="0"/>
            </w:pPr>
          </w:p>
        </w:tc>
      </w:tr>
      <w:tr w:rsidR="00DF2312" w:rsidTr="00DF23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rsidR="00DF2312" w:rsidRPr="006D6786" w:rsidRDefault="00DF2312" w:rsidP="00EC3F5E">
            <w:pPr>
              <w:rPr>
                <w:sz w:val="24"/>
              </w:rPr>
            </w:pPr>
            <w:r w:rsidRPr="006D6786">
              <w:rPr>
                <w:sz w:val="24"/>
              </w:rPr>
              <w:t>Control Criteria</w:t>
            </w:r>
          </w:p>
        </w:tc>
        <w:tc>
          <w:tcPr>
            <w:tcW w:w="6570" w:type="dxa"/>
          </w:tcPr>
          <w:p w:rsidR="00DF2312" w:rsidRPr="006D6786" w:rsidRDefault="00DF2312" w:rsidP="00EC3F5E">
            <w:pPr>
              <w:cnfStyle w:val="000000100000" w:firstRow="0" w:lastRow="0" w:firstColumn="0" w:lastColumn="0" w:oddVBand="0" w:evenVBand="0" w:oddHBand="1" w:evenHBand="0" w:firstRowFirstColumn="0" w:firstRowLastColumn="0" w:lastRowFirstColumn="0" w:lastRowLastColumn="0"/>
              <w:rPr>
                <w:b/>
                <w:sz w:val="24"/>
              </w:rPr>
            </w:pPr>
            <w:r w:rsidRPr="006D6786">
              <w:rPr>
                <w:b/>
                <w:sz w:val="24"/>
              </w:rPr>
              <w:t>Nodes in Decision Network</w:t>
            </w:r>
          </w:p>
        </w:tc>
      </w:tr>
      <w:tr w:rsidR="00DF2312" w:rsidTr="00DF2312">
        <w:tc>
          <w:tcPr>
            <w:cnfStyle w:val="001000000000" w:firstRow="0" w:lastRow="0" w:firstColumn="1" w:lastColumn="0" w:oddVBand="0" w:evenVBand="0" w:oddHBand="0" w:evenHBand="0" w:firstRowFirstColumn="0" w:firstRowLastColumn="0" w:lastRowFirstColumn="0" w:lastRowLastColumn="0"/>
            <w:tcW w:w="2898" w:type="dxa"/>
          </w:tcPr>
          <w:p w:rsidR="00DF2312" w:rsidRPr="006D6786" w:rsidRDefault="00BC79C3" w:rsidP="00EC3F5E">
            <w:r>
              <w:t>Institutional</w:t>
            </w:r>
          </w:p>
        </w:tc>
        <w:tc>
          <w:tcPr>
            <w:tcW w:w="6570" w:type="dxa"/>
          </w:tcPr>
          <w:p w:rsidR="00DF2312" w:rsidRPr="006D6786" w:rsidRDefault="00DF2312" w:rsidP="00EC3F5E">
            <w:pPr>
              <w:cnfStyle w:val="000000000000" w:firstRow="0" w:lastRow="0" w:firstColumn="0" w:lastColumn="0" w:oddVBand="0" w:evenVBand="0" w:oddHBand="0" w:evenHBand="0" w:firstRowFirstColumn="0" w:firstRowLastColumn="0" w:lastRowFirstColumn="0" w:lastRowLastColumn="0"/>
            </w:pPr>
          </w:p>
        </w:tc>
      </w:tr>
      <w:tr w:rsidR="00DF2312" w:rsidTr="00DF23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rsidR="00DF2312" w:rsidRPr="006D6786" w:rsidRDefault="00DF2312" w:rsidP="00EC3F5E"/>
        </w:tc>
        <w:tc>
          <w:tcPr>
            <w:tcW w:w="6570" w:type="dxa"/>
          </w:tcPr>
          <w:p w:rsidR="00DF2312" w:rsidRPr="006D6786" w:rsidRDefault="00BC79C3" w:rsidP="00EC3F5E">
            <w:pPr>
              <w:cnfStyle w:val="000000100000" w:firstRow="0" w:lastRow="0" w:firstColumn="0" w:lastColumn="0" w:oddVBand="0" w:evenVBand="0" w:oddHBand="1" w:evenHBand="0" w:firstRowFirstColumn="0" w:firstRowLastColumn="0" w:lastRowFirstColumn="0" w:lastRowLastColumn="0"/>
            </w:pPr>
            <w:r>
              <w:t>Additional Bye Week</w:t>
            </w:r>
          </w:p>
        </w:tc>
      </w:tr>
      <w:tr w:rsidR="00DF2312" w:rsidTr="00DF2312">
        <w:tc>
          <w:tcPr>
            <w:cnfStyle w:val="001000000000" w:firstRow="0" w:lastRow="0" w:firstColumn="1" w:lastColumn="0" w:oddVBand="0" w:evenVBand="0" w:oddHBand="0" w:evenHBand="0" w:firstRowFirstColumn="0" w:firstRowLastColumn="0" w:lastRowFirstColumn="0" w:lastRowLastColumn="0"/>
            <w:tcW w:w="2898" w:type="dxa"/>
          </w:tcPr>
          <w:p w:rsidR="00DF2312" w:rsidRPr="006D6786" w:rsidRDefault="00DF2312" w:rsidP="00EC3F5E"/>
        </w:tc>
        <w:tc>
          <w:tcPr>
            <w:tcW w:w="6570" w:type="dxa"/>
          </w:tcPr>
          <w:p w:rsidR="00DF2312" w:rsidRDefault="00BC79C3" w:rsidP="00EC3F5E">
            <w:pPr>
              <w:cnfStyle w:val="000000000000" w:firstRow="0" w:lastRow="0" w:firstColumn="0" w:lastColumn="0" w:oddVBand="0" w:evenVBand="0" w:oddHBand="0" w:evenHBand="0" w:firstRowFirstColumn="0" w:firstRowLastColumn="0" w:lastRowFirstColumn="0" w:lastRowLastColumn="0"/>
            </w:pPr>
            <w:r>
              <w:t>Decreased OTA and Training</w:t>
            </w:r>
          </w:p>
        </w:tc>
      </w:tr>
      <w:tr w:rsidR="00DF2312" w:rsidTr="00DF23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rsidR="00DF2312" w:rsidRPr="006D6786" w:rsidRDefault="00DF2312" w:rsidP="00EC3F5E"/>
        </w:tc>
        <w:tc>
          <w:tcPr>
            <w:tcW w:w="6570" w:type="dxa"/>
          </w:tcPr>
          <w:p w:rsidR="00DF2312" w:rsidRDefault="00BC79C3" w:rsidP="00EC3F5E">
            <w:pPr>
              <w:cnfStyle w:val="000000100000" w:firstRow="0" w:lastRow="0" w:firstColumn="0" w:lastColumn="0" w:oddVBand="0" w:evenVBand="0" w:oddHBand="1" w:evenHBand="0" w:firstRowFirstColumn="0" w:firstRowLastColumn="0" w:lastRowFirstColumn="0" w:lastRowLastColumn="0"/>
            </w:pPr>
            <w:r>
              <w:t>Increased Competitiveness</w:t>
            </w:r>
          </w:p>
        </w:tc>
      </w:tr>
      <w:tr w:rsidR="00DF2312" w:rsidTr="00DF2312">
        <w:tc>
          <w:tcPr>
            <w:cnfStyle w:val="001000000000" w:firstRow="0" w:lastRow="0" w:firstColumn="1" w:lastColumn="0" w:oddVBand="0" w:evenVBand="0" w:oddHBand="0" w:evenHBand="0" w:firstRowFirstColumn="0" w:firstRowLastColumn="0" w:lastRowFirstColumn="0" w:lastRowLastColumn="0"/>
            <w:tcW w:w="2898" w:type="dxa"/>
          </w:tcPr>
          <w:p w:rsidR="00DF2312" w:rsidRPr="006D6786" w:rsidRDefault="00DF2312" w:rsidP="00EC3F5E"/>
        </w:tc>
        <w:tc>
          <w:tcPr>
            <w:tcW w:w="6570" w:type="dxa"/>
          </w:tcPr>
          <w:p w:rsidR="00DF2312" w:rsidRDefault="00BC79C3" w:rsidP="00EC3F5E">
            <w:pPr>
              <w:cnfStyle w:val="000000000000" w:firstRow="0" w:lastRow="0" w:firstColumn="0" w:lastColumn="0" w:oddVBand="0" w:evenVBand="0" w:oddHBand="0" w:evenHBand="0" w:firstRowFirstColumn="0" w:firstRowLastColumn="0" w:lastRowFirstColumn="0" w:lastRowLastColumn="0"/>
            </w:pPr>
            <w:r>
              <w:t>Minor League</w:t>
            </w:r>
          </w:p>
        </w:tc>
      </w:tr>
      <w:tr w:rsidR="00BC79C3" w:rsidTr="00DF23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rsidR="00BC79C3" w:rsidRPr="006D6786" w:rsidRDefault="00BC79C3" w:rsidP="00EC3F5E"/>
        </w:tc>
        <w:tc>
          <w:tcPr>
            <w:tcW w:w="6570" w:type="dxa"/>
          </w:tcPr>
          <w:p w:rsidR="00BC79C3" w:rsidRDefault="00BC79C3" w:rsidP="00EC3F5E">
            <w:pPr>
              <w:cnfStyle w:val="000000100000" w:firstRow="0" w:lastRow="0" w:firstColumn="0" w:lastColumn="0" w:oddVBand="0" w:evenVBand="0" w:oddHBand="1" w:evenHBand="0" w:firstRowFirstColumn="0" w:firstRowLastColumn="0" w:lastRowFirstColumn="0" w:lastRowLastColumn="0"/>
            </w:pPr>
            <w:r>
              <w:t>Modify IR Terms</w:t>
            </w:r>
          </w:p>
        </w:tc>
      </w:tr>
      <w:tr w:rsidR="00DF2312" w:rsidTr="00DF2312">
        <w:tc>
          <w:tcPr>
            <w:cnfStyle w:val="001000000000" w:firstRow="0" w:lastRow="0" w:firstColumn="1" w:lastColumn="0" w:oddVBand="0" w:evenVBand="0" w:oddHBand="0" w:evenHBand="0" w:firstRowFirstColumn="0" w:firstRowLastColumn="0" w:lastRowFirstColumn="0" w:lastRowLastColumn="0"/>
            <w:tcW w:w="2898" w:type="dxa"/>
          </w:tcPr>
          <w:p w:rsidR="00DF2312" w:rsidRPr="006D6786" w:rsidRDefault="00DF2312" w:rsidP="00EC3F5E">
            <w:r w:rsidRPr="006D6786">
              <w:t>Social</w:t>
            </w:r>
          </w:p>
        </w:tc>
        <w:tc>
          <w:tcPr>
            <w:tcW w:w="6570" w:type="dxa"/>
          </w:tcPr>
          <w:p w:rsidR="00DF2312" w:rsidRDefault="00DF2312" w:rsidP="00EC3F5E">
            <w:pPr>
              <w:cnfStyle w:val="000000000000" w:firstRow="0" w:lastRow="0" w:firstColumn="0" w:lastColumn="0" w:oddVBand="0" w:evenVBand="0" w:oddHBand="0" w:evenHBand="0" w:firstRowFirstColumn="0" w:firstRowLastColumn="0" w:lastRowFirstColumn="0" w:lastRowLastColumn="0"/>
            </w:pPr>
          </w:p>
        </w:tc>
      </w:tr>
      <w:tr w:rsidR="00DF2312" w:rsidTr="00DF23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rsidR="00DF2312" w:rsidRDefault="00DF2312" w:rsidP="00EC3F5E">
            <w:pPr>
              <w:rPr>
                <w:b w:val="0"/>
              </w:rPr>
            </w:pPr>
          </w:p>
        </w:tc>
        <w:tc>
          <w:tcPr>
            <w:tcW w:w="6570" w:type="dxa"/>
          </w:tcPr>
          <w:p w:rsidR="00DF2312" w:rsidRDefault="00BC79C3" w:rsidP="00EC3F5E">
            <w:pPr>
              <w:cnfStyle w:val="000000100000" w:firstRow="0" w:lastRow="0" w:firstColumn="0" w:lastColumn="0" w:oddVBand="0" w:evenVBand="0" w:oddHBand="1" w:evenHBand="0" w:firstRowFirstColumn="0" w:firstRowLastColumn="0" w:lastRowFirstColumn="0" w:lastRowLastColumn="0"/>
            </w:pPr>
            <w:r>
              <w:t>International Games</w:t>
            </w:r>
          </w:p>
        </w:tc>
      </w:tr>
      <w:tr w:rsidR="00DF2312" w:rsidTr="00DF2312">
        <w:tc>
          <w:tcPr>
            <w:cnfStyle w:val="001000000000" w:firstRow="0" w:lastRow="0" w:firstColumn="1" w:lastColumn="0" w:oddVBand="0" w:evenVBand="0" w:oddHBand="0" w:evenHBand="0" w:firstRowFirstColumn="0" w:firstRowLastColumn="0" w:lastRowFirstColumn="0" w:lastRowLastColumn="0"/>
            <w:tcW w:w="2898" w:type="dxa"/>
          </w:tcPr>
          <w:p w:rsidR="00DF2312" w:rsidRDefault="00DF2312" w:rsidP="00EC3F5E">
            <w:pPr>
              <w:rPr>
                <w:b w:val="0"/>
              </w:rPr>
            </w:pPr>
          </w:p>
        </w:tc>
        <w:tc>
          <w:tcPr>
            <w:tcW w:w="6570" w:type="dxa"/>
          </w:tcPr>
          <w:p w:rsidR="00DF2312" w:rsidRDefault="00BC79C3" w:rsidP="00EC3F5E">
            <w:pPr>
              <w:cnfStyle w:val="000000000000" w:firstRow="0" w:lastRow="0" w:firstColumn="0" w:lastColumn="0" w:oddVBand="0" w:evenVBand="0" w:oddHBand="0" w:evenHBand="0" w:firstRowFirstColumn="0" w:firstRowLastColumn="0" w:lastRowFirstColumn="0" w:lastRowLastColumn="0"/>
            </w:pPr>
            <w:r>
              <w:t>Increased Benefits for Retired Players</w:t>
            </w:r>
          </w:p>
        </w:tc>
      </w:tr>
    </w:tbl>
    <w:p w:rsidR="00DF2312" w:rsidRDefault="00DF2312" w:rsidP="00DF2312">
      <w:pPr>
        <w:spacing w:line="480" w:lineRule="auto"/>
      </w:pPr>
    </w:p>
    <w:tbl>
      <w:tblPr>
        <w:tblStyle w:val="MediumGrid1-Accent2"/>
        <w:tblW w:w="0" w:type="auto"/>
        <w:tblLook w:val="04A0" w:firstRow="1" w:lastRow="0" w:firstColumn="1" w:lastColumn="0" w:noHBand="0" w:noVBand="1"/>
      </w:tblPr>
      <w:tblGrid>
        <w:gridCol w:w="2898"/>
        <w:gridCol w:w="6570"/>
      </w:tblGrid>
      <w:tr w:rsidR="006F19EA" w:rsidTr="006F19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rsidR="006F19EA" w:rsidRPr="003948F3" w:rsidRDefault="006F19EA" w:rsidP="00EC3F5E">
            <w:pPr>
              <w:rPr>
                <w:sz w:val="28"/>
                <w:szCs w:val="28"/>
              </w:rPr>
            </w:pPr>
            <w:r>
              <w:rPr>
                <w:sz w:val="28"/>
                <w:szCs w:val="28"/>
              </w:rPr>
              <w:t>COSTS</w:t>
            </w:r>
            <w:r w:rsidRPr="003948F3">
              <w:rPr>
                <w:sz w:val="28"/>
                <w:szCs w:val="28"/>
              </w:rPr>
              <w:t>:</w:t>
            </w:r>
          </w:p>
        </w:tc>
        <w:tc>
          <w:tcPr>
            <w:tcW w:w="6570" w:type="dxa"/>
          </w:tcPr>
          <w:p w:rsidR="006F19EA" w:rsidRDefault="006F19EA" w:rsidP="00EC3F5E">
            <w:pPr>
              <w:cnfStyle w:val="100000000000" w:firstRow="1" w:lastRow="0" w:firstColumn="0" w:lastColumn="0" w:oddVBand="0" w:evenVBand="0" w:oddHBand="0" w:evenHBand="0" w:firstRowFirstColumn="0" w:firstRowLastColumn="0" w:lastRowFirstColumn="0" w:lastRowLastColumn="0"/>
            </w:pPr>
          </w:p>
        </w:tc>
      </w:tr>
      <w:tr w:rsidR="006F19EA" w:rsidTr="006F19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rsidR="006F19EA" w:rsidRPr="006D6786" w:rsidRDefault="006F19EA" w:rsidP="00EC3F5E">
            <w:pPr>
              <w:rPr>
                <w:sz w:val="24"/>
              </w:rPr>
            </w:pPr>
            <w:r w:rsidRPr="006D6786">
              <w:rPr>
                <w:sz w:val="24"/>
              </w:rPr>
              <w:t>Control Criteria</w:t>
            </w:r>
          </w:p>
        </w:tc>
        <w:tc>
          <w:tcPr>
            <w:tcW w:w="6570" w:type="dxa"/>
          </w:tcPr>
          <w:p w:rsidR="006F19EA" w:rsidRPr="006D6786" w:rsidRDefault="006F19EA" w:rsidP="00EC3F5E">
            <w:pPr>
              <w:cnfStyle w:val="000000100000" w:firstRow="0" w:lastRow="0" w:firstColumn="0" w:lastColumn="0" w:oddVBand="0" w:evenVBand="0" w:oddHBand="1" w:evenHBand="0" w:firstRowFirstColumn="0" w:firstRowLastColumn="0" w:lastRowFirstColumn="0" w:lastRowLastColumn="0"/>
              <w:rPr>
                <w:b/>
                <w:sz w:val="24"/>
              </w:rPr>
            </w:pPr>
            <w:r w:rsidRPr="006D6786">
              <w:rPr>
                <w:b/>
                <w:sz w:val="24"/>
              </w:rPr>
              <w:t>Nodes in Decision Network</w:t>
            </w:r>
          </w:p>
        </w:tc>
      </w:tr>
      <w:tr w:rsidR="006F19EA" w:rsidTr="006F19EA">
        <w:tc>
          <w:tcPr>
            <w:cnfStyle w:val="001000000000" w:firstRow="0" w:lastRow="0" w:firstColumn="1" w:lastColumn="0" w:oddVBand="0" w:evenVBand="0" w:oddHBand="0" w:evenHBand="0" w:firstRowFirstColumn="0" w:firstRowLastColumn="0" w:lastRowFirstColumn="0" w:lastRowLastColumn="0"/>
            <w:tcW w:w="2898" w:type="dxa"/>
          </w:tcPr>
          <w:p w:rsidR="006F19EA" w:rsidRPr="006D6786" w:rsidRDefault="006F19EA" w:rsidP="00EC3F5E">
            <w:r>
              <w:t>Economic</w:t>
            </w:r>
          </w:p>
        </w:tc>
        <w:tc>
          <w:tcPr>
            <w:tcW w:w="6570" w:type="dxa"/>
          </w:tcPr>
          <w:p w:rsidR="006F19EA" w:rsidRPr="006D6786" w:rsidRDefault="006F19EA" w:rsidP="00EC3F5E">
            <w:pPr>
              <w:cnfStyle w:val="000000000000" w:firstRow="0" w:lastRow="0" w:firstColumn="0" w:lastColumn="0" w:oddVBand="0" w:evenVBand="0" w:oddHBand="0" w:evenHBand="0" w:firstRowFirstColumn="0" w:firstRowLastColumn="0" w:lastRowFirstColumn="0" w:lastRowLastColumn="0"/>
            </w:pPr>
          </w:p>
        </w:tc>
      </w:tr>
      <w:tr w:rsidR="006F19EA" w:rsidTr="006F19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rsidR="006F19EA" w:rsidRPr="006D6786" w:rsidRDefault="006F19EA" w:rsidP="00EC3F5E"/>
        </w:tc>
        <w:tc>
          <w:tcPr>
            <w:tcW w:w="6570" w:type="dxa"/>
          </w:tcPr>
          <w:p w:rsidR="006F19EA" w:rsidRPr="006D6786" w:rsidRDefault="006F19EA" w:rsidP="00EC3F5E">
            <w:pPr>
              <w:cnfStyle w:val="000000100000" w:firstRow="0" w:lastRow="0" w:firstColumn="0" w:lastColumn="0" w:oddVBand="0" w:evenVBand="0" w:oddHBand="1" w:evenHBand="0" w:firstRowFirstColumn="0" w:firstRowLastColumn="0" w:lastRowFirstColumn="0" w:lastRowLastColumn="0"/>
            </w:pPr>
            <w:r>
              <w:t>Increased Roster</w:t>
            </w:r>
          </w:p>
        </w:tc>
      </w:tr>
      <w:tr w:rsidR="006F19EA" w:rsidTr="006F19EA">
        <w:tc>
          <w:tcPr>
            <w:cnfStyle w:val="001000000000" w:firstRow="0" w:lastRow="0" w:firstColumn="1" w:lastColumn="0" w:oddVBand="0" w:evenVBand="0" w:oddHBand="0" w:evenHBand="0" w:firstRowFirstColumn="0" w:firstRowLastColumn="0" w:lastRowFirstColumn="0" w:lastRowLastColumn="0"/>
            <w:tcW w:w="2898" w:type="dxa"/>
          </w:tcPr>
          <w:p w:rsidR="006F19EA" w:rsidRPr="006D6786" w:rsidRDefault="006F19EA" w:rsidP="00EC3F5E"/>
        </w:tc>
        <w:tc>
          <w:tcPr>
            <w:tcW w:w="6570" w:type="dxa"/>
          </w:tcPr>
          <w:p w:rsidR="006F19EA" w:rsidRDefault="006F19EA" w:rsidP="00EC3F5E">
            <w:pPr>
              <w:cnfStyle w:val="000000000000" w:firstRow="0" w:lastRow="0" w:firstColumn="0" w:lastColumn="0" w:oddVBand="0" w:evenVBand="0" w:oddHBand="0" w:evenHBand="0" w:firstRowFirstColumn="0" w:firstRowLastColumn="0" w:lastRowFirstColumn="0" w:lastRowLastColumn="0"/>
            </w:pPr>
            <w:r>
              <w:t>Pay Players for Additional Games</w:t>
            </w:r>
          </w:p>
        </w:tc>
      </w:tr>
      <w:tr w:rsidR="006F19EA" w:rsidTr="006F19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rsidR="006F19EA" w:rsidRPr="006D6786" w:rsidRDefault="006F19EA" w:rsidP="00EC3F5E">
            <w:r w:rsidRPr="006D6786">
              <w:t>Social</w:t>
            </w:r>
          </w:p>
        </w:tc>
        <w:tc>
          <w:tcPr>
            <w:tcW w:w="6570" w:type="dxa"/>
          </w:tcPr>
          <w:p w:rsidR="006F19EA" w:rsidRDefault="006F19EA" w:rsidP="00EC3F5E">
            <w:pPr>
              <w:cnfStyle w:val="000000100000" w:firstRow="0" w:lastRow="0" w:firstColumn="0" w:lastColumn="0" w:oddVBand="0" w:evenVBand="0" w:oddHBand="1" w:evenHBand="0" w:firstRowFirstColumn="0" w:firstRowLastColumn="0" w:lastRowFirstColumn="0" w:lastRowLastColumn="0"/>
            </w:pPr>
          </w:p>
        </w:tc>
      </w:tr>
      <w:tr w:rsidR="006F19EA" w:rsidTr="006F19EA">
        <w:tc>
          <w:tcPr>
            <w:cnfStyle w:val="001000000000" w:firstRow="0" w:lastRow="0" w:firstColumn="1" w:lastColumn="0" w:oddVBand="0" w:evenVBand="0" w:oddHBand="0" w:evenHBand="0" w:firstRowFirstColumn="0" w:firstRowLastColumn="0" w:lastRowFirstColumn="0" w:lastRowLastColumn="0"/>
            <w:tcW w:w="2898" w:type="dxa"/>
          </w:tcPr>
          <w:p w:rsidR="006F19EA" w:rsidRDefault="006F19EA" w:rsidP="00EC3F5E">
            <w:pPr>
              <w:rPr>
                <w:b w:val="0"/>
              </w:rPr>
            </w:pPr>
          </w:p>
        </w:tc>
        <w:tc>
          <w:tcPr>
            <w:tcW w:w="6570" w:type="dxa"/>
          </w:tcPr>
          <w:p w:rsidR="006F19EA" w:rsidRDefault="006F19EA" w:rsidP="00EC3F5E">
            <w:pPr>
              <w:cnfStyle w:val="000000000000" w:firstRow="0" w:lastRow="0" w:firstColumn="0" w:lastColumn="0" w:oddVBand="0" w:evenVBand="0" w:oddHBand="0" w:evenHBand="0" w:firstRowFirstColumn="0" w:firstRowLastColumn="0" w:lastRowFirstColumn="0" w:lastRowLastColumn="0"/>
            </w:pPr>
            <w:r>
              <w:t>Competitive Attrition</w:t>
            </w:r>
          </w:p>
        </w:tc>
      </w:tr>
      <w:tr w:rsidR="006F19EA" w:rsidTr="006F19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rsidR="006F19EA" w:rsidRDefault="006F19EA" w:rsidP="00EC3F5E">
            <w:pPr>
              <w:rPr>
                <w:b w:val="0"/>
              </w:rPr>
            </w:pPr>
          </w:p>
        </w:tc>
        <w:tc>
          <w:tcPr>
            <w:tcW w:w="6570" w:type="dxa"/>
          </w:tcPr>
          <w:p w:rsidR="006F19EA" w:rsidRDefault="006F19EA" w:rsidP="00EC3F5E">
            <w:pPr>
              <w:cnfStyle w:val="000000100000" w:firstRow="0" w:lastRow="0" w:firstColumn="0" w:lastColumn="0" w:oddVBand="0" w:evenVBand="0" w:oddHBand="1" w:evenHBand="0" w:firstRowFirstColumn="0" w:firstRowLastColumn="0" w:lastRowFirstColumn="0" w:lastRowLastColumn="0"/>
            </w:pPr>
            <w:r>
              <w:t>Complexion of Season</w:t>
            </w:r>
          </w:p>
        </w:tc>
      </w:tr>
      <w:tr w:rsidR="006F19EA" w:rsidTr="006F19EA">
        <w:tc>
          <w:tcPr>
            <w:cnfStyle w:val="001000000000" w:firstRow="0" w:lastRow="0" w:firstColumn="1" w:lastColumn="0" w:oddVBand="0" w:evenVBand="0" w:oddHBand="0" w:evenHBand="0" w:firstRowFirstColumn="0" w:firstRowLastColumn="0" w:lastRowFirstColumn="0" w:lastRowLastColumn="0"/>
            <w:tcW w:w="2898" w:type="dxa"/>
          </w:tcPr>
          <w:p w:rsidR="006F19EA" w:rsidRDefault="006F19EA" w:rsidP="00EC3F5E">
            <w:pPr>
              <w:rPr>
                <w:b w:val="0"/>
              </w:rPr>
            </w:pPr>
          </w:p>
        </w:tc>
        <w:tc>
          <w:tcPr>
            <w:tcW w:w="6570" w:type="dxa"/>
          </w:tcPr>
          <w:p w:rsidR="006F19EA" w:rsidRDefault="006F19EA" w:rsidP="00EC3F5E">
            <w:pPr>
              <w:cnfStyle w:val="000000000000" w:firstRow="0" w:lastRow="0" w:firstColumn="0" w:lastColumn="0" w:oddVBand="0" w:evenVBand="0" w:oddHBand="0" w:evenHBand="0" w:firstRowFirstColumn="0" w:firstRowLastColumn="0" w:lastRowFirstColumn="0" w:lastRowLastColumn="0"/>
            </w:pPr>
            <w:r>
              <w:t>Variance Between Statistics</w:t>
            </w:r>
          </w:p>
        </w:tc>
      </w:tr>
    </w:tbl>
    <w:p w:rsidR="006F19EA" w:rsidRDefault="006F19EA" w:rsidP="00DF2312">
      <w:pPr>
        <w:spacing w:line="480" w:lineRule="auto"/>
      </w:pPr>
    </w:p>
    <w:tbl>
      <w:tblPr>
        <w:tblStyle w:val="MediumGrid1-Accent4"/>
        <w:tblW w:w="0" w:type="auto"/>
        <w:tblLook w:val="04A0" w:firstRow="1" w:lastRow="0" w:firstColumn="1" w:lastColumn="0" w:noHBand="0" w:noVBand="1"/>
      </w:tblPr>
      <w:tblGrid>
        <w:gridCol w:w="2898"/>
        <w:gridCol w:w="6570"/>
      </w:tblGrid>
      <w:tr w:rsidR="00651BA2" w:rsidTr="003412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rsidR="00651BA2" w:rsidRPr="003948F3" w:rsidRDefault="00651BA2" w:rsidP="00EC3F5E">
            <w:pPr>
              <w:rPr>
                <w:sz w:val="28"/>
                <w:szCs w:val="28"/>
              </w:rPr>
            </w:pPr>
            <w:r>
              <w:rPr>
                <w:sz w:val="28"/>
                <w:szCs w:val="28"/>
              </w:rPr>
              <w:t>RISKS</w:t>
            </w:r>
            <w:r w:rsidRPr="003948F3">
              <w:rPr>
                <w:sz w:val="28"/>
                <w:szCs w:val="28"/>
              </w:rPr>
              <w:t>:</w:t>
            </w:r>
          </w:p>
        </w:tc>
        <w:tc>
          <w:tcPr>
            <w:tcW w:w="6570" w:type="dxa"/>
          </w:tcPr>
          <w:p w:rsidR="00651BA2" w:rsidRDefault="00651BA2" w:rsidP="00EC3F5E">
            <w:pPr>
              <w:cnfStyle w:val="100000000000" w:firstRow="1" w:lastRow="0" w:firstColumn="0" w:lastColumn="0" w:oddVBand="0" w:evenVBand="0" w:oddHBand="0" w:evenHBand="0" w:firstRowFirstColumn="0" w:firstRowLastColumn="0" w:lastRowFirstColumn="0" w:lastRowLastColumn="0"/>
            </w:pPr>
          </w:p>
        </w:tc>
      </w:tr>
      <w:tr w:rsidR="00651BA2" w:rsidTr="00341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rsidR="00651BA2" w:rsidRPr="006D6786" w:rsidRDefault="00651BA2" w:rsidP="00EC3F5E">
            <w:pPr>
              <w:rPr>
                <w:sz w:val="24"/>
              </w:rPr>
            </w:pPr>
            <w:r w:rsidRPr="006D6786">
              <w:rPr>
                <w:sz w:val="24"/>
              </w:rPr>
              <w:t>Control Criteria</w:t>
            </w:r>
          </w:p>
        </w:tc>
        <w:tc>
          <w:tcPr>
            <w:tcW w:w="6570" w:type="dxa"/>
          </w:tcPr>
          <w:p w:rsidR="00651BA2" w:rsidRPr="006D6786" w:rsidRDefault="00651BA2" w:rsidP="00EC3F5E">
            <w:pPr>
              <w:cnfStyle w:val="000000100000" w:firstRow="0" w:lastRow="0" w:firstColumn="0" w:lastColumn="0" w:oddVBand="0" w:evenVBand="0" w:oddHBand="1" w:evenHBand="0" w:firstRowFirstColumn="0" w:firstRowLastColumn="0" w:lastRowFirstColumn="0" w:lastRowLastColumn="0"/>
              <w:rPr>
                <w:b/>
                <w:sz w:val="24"/>
              </w:rPr>
            </w:pPr>
            <w:r w:rsidRPr="006D6786">
              <w:rPr>
                <w:b/>
                <w:sz w:val="24"/>
              </w:rPr>
              <w:t>Nodes in Decision Network</w:t>
            </w:r>
          </w:p>
        </w:tc>
      </w:tr>
      <w:tr w:rsidR="00651BA2" w:rsidTr="00341280">
        <w:tc>
          <w:tcPr>
            <w:cnfStyle w:val="001000000000" w:firstRow="0" w:lastRow="0" w:firstColumn="1" w:lastColumn="0" w:oddVBand="0" w:evenVBand="0" w:oddHBand="0" w:evenHBand="0" w:firstRowFirstColumn="0" w:firstRowLastColumn="0" w:lastRowFirstColumn="0" w:lastRowLastColumn="0"/>
            <w:tcW w:w="2898" w:type="dxa"/>
          </w:tcPr>
          <w:p w:rsidR="00651BA2" w:rsidRPr="006D6786" w:rsidRDefault="00651BA2" w:rsidP="00EC3F5E">
            <w:r>
              <w:t>Economic</w:t>
            </w:r>
          </w:p>
        </w:tc>
        <w:tc>
          <w:tcPr>
            <w:tcW w:w="6570" w:type="dxa"/>
          </w:tcPr>
          <w:p w:rsidR="00651BA2" w:rsidRPr="006D6786" w:rsidRDefault="00651BA2" w:rsidP="00EC3F5E">
            <w:pPr>
              <w:cnfStyle w:val="000000000000" w:firstRow="0" w:lastRow="0" w:firstColumn="0" w:lastColumn="0" w:oddVBand="0" w:evenVBand="0" w:oddHBand="0" w:evenHBand="0" w:firstRowFirstColumn="0" w:firstRowLastColumn="0" w:lastRowFirstColumn="0" w:lastRowLastColumn="0"/>
            </w:pPr>
          </w:p>
        </w:tc>
      </w:tr>
      <w:tr w:rsidR="00651BA2" w:rsidTr="00341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rsidR="00651BA2" w:rsidRPr="006D6786" w:rsidRDefault="00651BA2" w:rsidP="00EC3F5E"/>
        </w:tc>
        <w:tc>
          <w:tcPr>
            <w:tcW w:w="6570" w:type="dxa"/>
          </w:tcPr>
          <w:p w:rsidR="00651BA2" w:rsidRPr="006D6786" w:rsidRDefault="00651BA2" w:rsidP="00EC3F5E">
            <w:pPr>
              <w:cnfStyle w:val="000000100000" w:firstRow="0" w:lastRow="0" w:firstColumn="0" w:lastColumn="0" w:oddVBand="0" w:evenVBand="0" w:oddHBand="1" w:evenHBand="0" w:firstRowFirstColumn="0" w:firstRowLastColumn="0" w:lastRowFirstColumn="0" w:lastRowLastColumn="0"/>
            </w:pPr>
            <w:r>
              <w:t>Decreased Profit Margin per Game</w:t>
            </w:r>
          </w:p>
        </w:tc>
      </w:tr>
      <w:tr w:rsidR="00651BA2" w:rsidTr="00341280">
        <w:tc>
          <w:tcPr>
            <w:cnfStyle w:val="001000000000" w:firstRow="0" w:lastRow="0" w:firstColumn="1" w:lastColumn="0" w:oddVBand="0" w:evenVBand="0" w:oddHBand="0" w:evenHBand="0" w:firstRowFirstColumn="0" w:firstRowLastColumn="0" w:lastRowFirstColumn="0" w:lastRowLastColumn="0"/>
            <w:tcW w:w="2898" w:type="dxa"/>
          </w:tcPr>
          <w:p w:rsidR="00651BA2" w:rsidRPr="006D6786" w:rsidRDefault="00651BA2" w:rsidP="00EC3F5E"/>
        </w:tc>
        <w:tc>
          <w:tcPr>
            <w:tcW w:w="6570" w:type="dxa"/>
          </w:tcPr>
          <w:p w:rsidR="00651BA2" w:rsidRDefault="00651BA2" w:rsidP="00EC3F5E">
            <w:pPr>
              <w:cnfStyle w:val="000000000000" w:firstRow="0" w:lastRow="0" w:firstColumn="0" w:lastColumn="0" w:oddVBand="0" w:evenVBand="0" w:oddHBand="0" w:evenHBand="0" w:firstRowFirstColumn="0" w:firstRowLastColumn="0" w:lastRowFirstColumn="0" w:lastRowLastColumn="0"/>
            </w:pPr>
            <w:r>
              <w:t>Negative Returns for Bad Seasons</w:t>
            </w:r>
          </w:p>
        </w:tc>
      </w:tr>
      <w:tr w:rsidR="00651BA2" w:rsidTr="00341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rsidR="00651BA2" w:rsidRPr="006D6786" w:rsidRDefault="00651BA2" w:rsidP="00EC3F5E">
            <w:r w:rsidRPr="006D6786">
              <w:t>Social</w:t>
            </w:r>
          </w:p>
        </w:tc>
        <w:tc>
          <w:tcPr>
            <w:tcW w:w="6570" w:type="dxa"/>
          </w:tcPr>
          <w:p w:rsidR="00651BA2" w:rsidRDefault="00651BA2" w:rsidP="00EC3F5E">
            <w:pPr>
              <w:cnfStyle w:val="000000100000" w:firstRow="0" w:lastRow="0" w:firstColumn="0" w:lastColumn="0" w:oddVBand="0" w:evenVBand="0" w:oddHBand="1" w:evenHBand="0" w:firstRowFirstColumn="0" w:firstRowLastColumn="0" w:lastRowFirstColumn="0" w:lastRowLastColumn="0"/>
            </w:pPr>
          </w:p>
        </w:tc>
      </w:tr>
      <w:tr w:rsidR="00651BA2" w:rsidTr="00341280">
        <w:tc>
          <w:tcPr>
            <w:cnfStyle w:val="001000000000" w:firstRow="0" w:lastRow="0" w:firstColumn="1" w:lastColumn="0" w:oddVBand="0" w:evenVBand="0" w:oddHBand="0" w:evenHBand="0" w:firstRowFirstColumn="0" w:firstRowLastColumn="0" w:lastRowFirstColumn="0" w:lastRowLastColumn="0"/>
            <w:tcW w:w="2898" w:type="dxa"/>
          </w:tcPr>
          <w:p w:rsidR="00651BA2" w:rsidRDefault="00651BA2" w:rsidP="00EC3F5E">
            <w:pPr>
              <w:rPr>
                <w:b w:val="0"/>
              </w:rPr>
            </w:pPr>
          </w:p>
        </w:tc>
        <w:tc>
          <w:tcPr>
            <w:tcW w:w="6570" w:type="dxa"/>
          </w:tcPr>
          <w:p w:rsidR="00651BA2" w:rsidRDefault="00651BA2" w:rsidP="00EC3F5E">
            <w:pPr>
              <w:cnfStyle w:val="000000000000" w:firstRow="0" w:lastRow="0" w:firstColumn="0" w:lastColumn="0" w:oddVBand="0" w:evenVBand="0" w:oddHBand="0" w:evenHBand="0" w:firstRowFirstColumn="0" w:firstRowLastColumn="0" w:lastRowFirstColumn="0" w:lastRowLastColumn="0"/>
            </w:pPr>
            <w:r>
              <w:t>Evaluation of New Players</w:t>
            </w:r>
          </w:p>
        </w:tc>
      </w:tr>
      <w:tr w:rsidR="00651BA2" w:rsidTr="00341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rsidR="00651BA2" w:rsidRDefault="00651BA2" w:rsidP="00EC3F5E">
            <w:pPr>
              <w:rPr>
                <w:b w:val="0"/>
              </w:rPr>
            </w:pPr>
          </w:p>
        </w:tc>
        <w:tc>
          <w:tcPr>
            <w:tcW w:w="6570" w:type="dxa"/>
          </w:tcPr>
          <w:p w:rsidR="00651BA2" w:rsidRDefault="00651BA2" w:rsidP="00EC3F5E">
            <w:pPr>
              <w:cnfStyle w:val="000000100000" w:firstRow="0" w:lastRow="0" w:firstColumn="0" w:lastColumn="0" w:oddVBand="0" w:evenVBand="0" w:oddHBand="1" w:evenHBand="0" w:firstRowFirstColumn="0" w:firstRowLastColumn="0" w:lastRowFirstColumn="0" w:lastRowLastColumn="0"/>
            </w:pPr>
            <w:r>
              <w:t>Longer Disappointing Seasons</w:t>
            </w:r>
          </w:p>
        </w:tc>
      </w:tr>
      <w:tr w:rsidR="00651BA2" w:rsidTr="00341280">
        <w:tc>
          <w:tcPr>
            <w:cnfStyle w:val="001000000000" w:firstRow="0" w:lastRow="0" w:firstColumn="1" w:lastColumn="0" w:oddVBand="0" w:evenVBand="0" w:oddHBand="0" w:evenHBand="0" w:firstRowFirstColumn="0" w:firstRowLastColumn="0" w:lastRowFirstColumn="0" w:lastRowLastColumn="0"/>
            <w:tcW w:w="2898" w:type="dxa"/>
          </w:tcPr>
          <w:p w:rsidR="00651BA2" w:rsidRDefault="00651BA2" w:rsidP="00EC3F5E">
            <w:pPr>
              <w:rPr>
                <w:b w:val="0"/>
              </w:rPr>
            </w:pPr>
          </w:p>
        </w:tc>
        <w:tc>
          <w:tcPr>
            <w:tcW w:w="6570" w:type="dxa"/>
          </w:tcPr>
          <w:p w:rsidR="00651BA2" w:rsidRDefault="00651BA2" w:rsidP="00EC3F5E">
            <w:pPr>
              <w:cnfStyle w:val="000000000000" w:firstRow="0" w:lastRow="0" w:firstColumn="0" w:lastColumn="0" w:oddVBand="0" w:evenVBand="0" w:oddHBand="0" w:evenHBand="0" w:firstRowFirstColumn="0" w:firstRowLastColumn="0" w:lastRowFirstColumn="0" w:lastRowLastColumn="0"/>
            </w:pPr>
            <w:r>
              <w:t>Player Injury</w:t>
            </w:r>
          </w:p>
        </w:tc>
      </w:tr>
    </w:tbl>
    <w:p w:rsidR="00651BA2" w:rsidRDefault="00651BA2" w:rsidP="00DF2312">
      <w:pPr>
        <w:spacing w:line="480" w:lineRule="auto"/>
      </w:pPr>
    </w:p>
    <w:p w:rsidR="004C4493" w:rsidRDefault="004C4493" w:rsidP="001F5C0E">
      <w:pPr>
        <w:pStyle w:val="Heading1"/>
      </w:pPr>
      <w:bookmarkStart w:id="3" w:name="_Toc306536815"/>
      <w:r>
        <w:t>Strategic Objectives</w:t>
      </w:r>
      <w:bookmarkEnd w:id="3"/>
    </w:p>
    <w:p w:rsidR="004C4493" w:rsidRDefault="004C4493" w:rsidP="00890373">
      <w:pPr>
        <w:spacing w:line="480" w:lineRule="auto"/>
      </w:pPr>
      <w:r>
        <w:tab/>
        <w:t xml:space="preserve">The strategic objectives for the NFL in making the decision to keep the current schedule or adjust to a new schedule are Financial Growth, Long-Term Economic Viability, and Player </w:t>
      </w:r>
      <w:r w:rsidR="00DC4D31">
        <w:t xml:space="preserve">Safety.  When considered appropriately, these three </w:t>
      </w:r>
      <w:r w:rsidR="00AB6B75">
        <w:t xml:space="preserve">objectives </w:t>
      </w:r>
      <w:r w:rsidR="00DC4D31">
        <w:t>will help influenc</w:t>
      </w:r>
      <w:r w:rsidR="00AB6B75">
        <w:t xml:space="preserve">e a decision that considers all </w:t>
      </w:r>
      <w:r w:rsidR="00AB6B75">
        <w:lastRenderedPageBreak/>
        <w:t>stakeholders.  All stakeholders have an interest in the NFL continuing to grow financial</w:t>
      </w:r>
      <w:r w:rsidR="00A1532B">
        <w:t>ly</w:t>
      </w:r>
      <w:r w:rsidR="00AB6B75">
        <w:t xml:space="preserve"> and on a pa</w:t>
      </w:r>
      <w:r w:rsidR="00A1532B">
        <w:t>th that ensures long-term sustainability</w:t>
      </w:r>
      <w:r w:rsidR="00AB6B75">
        <w:t xml:space="preserve"> as well as short-term.  Player safety is also a concern for all involved since without healthy players, the NFL cannot continue to be the competitive sport it currently is, which would be a detriment to all involved.  </w:t>
      </w:r>
    </w:p>
    <w:p w:rsidR="0000072C" w:rsidRDefault="0000072C" w:rsidP="00890373">
      <w:pPr>
        <w:pStyle w:val="Heading1"/>
      </w:pPr>
      <w:bookmarkStart w:id="4" w:name="_Toc306536816"/>
      <w:r>
        <w:t>Criteria Definitions</w:t>
      </w:r>
      <w:bookmarkEnd w:id="4"/>
    </w:p>
    <w:p w:rsidR="0000072C" w:rsidRDefault="0000072C" w:rsidP="00890373">
      <w:pPr>
        <w:pStyle w:val="Heading2"/>
      </w:pPr>
      <w:bookmarkStart w:id="5" w:name="_Toc306536817"/>
      <w:r>
        <w:t>Benefits</w:t>
      </w:r>
      <w:bookmarkEnd w:id="5"/>
    </w:p>
    <w:p w:rsidR="0000072C" w:rsidRDefault="0000072C" w:rsidP="00890373">
      <w:pPr>
        <w:spacing w:line="480" w:lineRule="auto"/>
      </w:pPr>
      <w:r>
        <w:tab/>
        <w:t>The economic benefits of extending the regular season of the NFL are numerous. The NFL generated over $9 billion of revenue in its 2010 season.  This revenue came from several streams, of which ticket sales, merchandise sales,</w:t>
      </w:r>
      <w:r w:rsidR="00D039DE">
        <w:t xml:space="preserve"> and</w:t>
      </w:r>
      <w:r>
        <w:t xml:space="preserve"> TV broadcasting rights were the most significant.  Increasing the number of regular season games will allow each of these revenue streams to grow.  In addition to the NFL’s direct revenue, there are many economic benefits for the cities hosting NFL teams as bar, restaurant, hotel, and parking revenues are enhanced by the additional regular season games.  </w:t>
      </w:r>
    </w:p>
    <w:p w:rsidR="0000072C" w:rsidRDefault="0000072C" w:rsidP="00890373">
      <w:pPr>
        <w:spacing w:line="480" w:lineRule="auto"/>
      </w:pPr>
      <w:r>
        <w:tab/>
      </w:r>
      <w:r w:rsidR="00E17DA3">
        <w:t>The social benefits of an 18 game regular season include increased fan satisfaction and league popularity.  Fans will benefit from having more competitive games during the season and ticket holders will feel they are receiving a higher value product for their money.  League popularity will increase as more games are broadcast nationally.</w:t>
      </w:r>
    </w:p>
    <w:p w:rsidR="003F5DCF" w:rsidRDefault="003F5DCF" w:rsidP="00890373">
      <w:pPr>
        <w:pStyle w:val="Heading2"/>
      </w:pPr>
      <w:bookmarkStart w:id="6" w:name="_Toc306536818"/>
      <w:r>
        <w:t>Opportunities</w:t>
      </w:r>
      <w:bookmarkEnd w:id="6"/>
    </w:p>
    <w:p w:rsidR="003F5DCF" w:rsidRDefault="003F5DCF" w:rsidP="00890373">
      <w:pPr>
        <w:spacing w:line="480" w:lineRule="auto"/>
      </w:pPr>
      <w:r>
        <w:tab/>
      </w:r>
      <w:r w:rsidR="00F73EF8">
        <w:t xml:space="preserve">The institutional opportunities within the NFL of extending the regular season revolve around giving </w:t>
      </w:r>
      <w:proofErr w:type="gramStart"/>
      <w:r w:rsidR="00F73EF8">
        <w:t>teams</w:t>
      </w:r>
      <w:proofErr w:type="gramEnd"/>
      <w:r w:rsidR="00F73EF8">
        <w:t xml:space="preserve"> additional leeway in managing their rosters and players additional opportunities to increase skills and decrease unnecessary strenuous training while increasing the competitiveness of the league.   Currently NFL teams are limited to a 53 man roster and have strict terms on placing players on injured reserve (not counted</w:t>
      </w:r>
      <w:r w:rsidR="00CF3E55">
        <w:t xml:space="preserve"> towards the 53 man limit).  Under the current rules, if a player is placed on injured reserve</w:t>
      </w:r>
      <w:r w:rsidR="00813F96">
        <w:t xml:space="preserve"> </w:t>
      </w:r>
      <w:r w:rsidR="00CF3E55">
        <w:t xml:space="preserve">he is effectively out for the remainder of the season.  For this reason, teams hesitate to </w:t>
      </w:r>
      <w:r w:rsidR="00CF3E55">
        <w:lastRenderedPageBreak/>
        <w:t xml:space="preserve">place players on injured reserve when there is a marginal chance that they may recover in time to play at some point in the season.  If the league were to extend the season, the opportunity for injured players to return to action is greater and therefore the terms of injured reserve should be modified to reflect this new dynamic.  Under an 18 game regular season, injured reserve status could be limited to a predetermined number of games rather than default for the entire season thus giving teams more opportunity to fill their 53 man roster with healthy players while not eliminating the chance that an injured player could return to action.  </w:t>
      </w:r>
      <w:r w:rsidR="00813F96">
        <w:t xml:space="preserve">To further increase the attractiveness of modified injured reserve terms and allow players additional time to rest and recover during the season, an additional bye week could be granted to every team.  Also, to decrease risk of injury prior to the season starting rules could be created to limit the use of organized team activities (OTA) and </w:t>
      </w:r>
      <w:r w:rsidR="005E51FC">
        <w:t xml:space="preserve">strenuous training camps.  Many veteran players see OTA and training camps as a greater risk of injury rather than an opportunity to improve for the season.  </w:t>
      </w:r>
    </w:p>
    <w:p w:rsidR="00813F96" w:rsidRDefault="00813F96" w:rsidP="00890373">
      <w:pPr>
        <w:spacing w:line="480" w:lineRule="auto"/>
      </w:pPr>
      <w:r>
        <w:tab/>
        <w:t xml:space="preserve">One criticism of shortening the preseason from 4 to 2 games is that it denies players the opportunity to earn a spot on the roster by demonstrating their abilities in a game time situation.  To help develop and discover players that are ready to play in the NFL, the league has an opportunity to </w:t>
      </w:r>
      <w:r w:rsidR="00D039DE">
        <w:t>create a</w:t>
      </w:r>
      <w:r>
        <w:t xml:space="preserve"> minor league version of the NFL that will be used similar to baseball’s farm system to find and develop new talent.  This will take emphasis away from needing to evaluate players by only a handful of preseason games.  </w:t>
      </w:r>
    </w:p>
    <w:p w:rsidR="005E51FC" w:rsidRDefault="005E51FC" w:rsidP="00890373">
      <w:pPr>
        <w:spacing w:line="480" w:lineRule="auto"/>
      </w:pPr>
      <w:r>
        <w:tab/>
        <w:t xml:space="preserve">A dynamic of the NFL season in its current form is that certain teams inevitably will secure playoff spots before the last weeks of the season while other teams will fall far out of contention by the end of the season.  This dynamic leads to competitive attrition around the league as these teams who have already determined their post season fate will begin to rest players and deliver lackluster performances in the final games of the regular season.  Extending the regular season by 2 games </w:t>
      </w:r>
      <w:r>
        <w:lastRenderedPageBreak/>
        <w:t xml:space="preserve">effectively increases the likelihood of this competitive attrition affecting the outcome of games at the end of the season.  An opportunity for the league to combat this phenomenon within an 18 game season would be to schedule divisional match-up games in the final weeks of the regular season.  </w:t>
      </w:r>
      <w:r w:rsidR="00632CE8">
        <w:t>Intra-d</w:t>
      </w:r>
      <w:r>
        <w:t xml:space="preserve">ivisional games have a greater bearing on a team’s playoff standing than </w:t>
      </w:r>
      <w:r w:rsidR="00632CE8">
        <w:t xml:space="preserve">inter-divisional games </w:t>
      </w:r>
      <w:proofErr w:type="gramStart"/>
      <w:r w:rsidR="00632CE8">
        <w:t>do,</w:t>
      </w:r>
      <w:proofErr w:type="gramEnd"/>
      <w:r w:rsidR="00632CE8">
        <w:t xml:space="preserve"> therefore these games are more likely to be competitive late in the season.  Also, d</w:t>
      </w:r>
      <w:r>
        <w:t>ivisional rivalries ru</w:t>
      </w:r>
      <w:r w:rsidR="00632CE8">
        <w:t xml:space="preserve">n deep and spur competitiveness among teams, players, and fans.  </w:t>
      </w:r>
    </w:p>
    <w:p w:rsidR="00034C4B" w:rsidRDefault="00034C4B" w:rsidP="00890373">
      <w:pPr>
        <w:spacing w:line="480" w:lineRule="auto"/>
      </w:pPr>
      <w:r>
        <w:tab/>
        <w:t xml:space="preserve">The social opportunities of extending the NFL regular season include extending the fan base of the NFL to a more international market and increasing benefits for retired players.  Currently, there is one scheduled international regular season game a year.  This game has been played at </w:t>
      </w:r>
      <w:proofErr w:type="spellStart"/>
      <w:r>
        <w:t>Wembley</w:t>
      </w:r>
      <w:proofErr w:type="spellEnd"/>
      <w:r>
        <w:t xml:space="preserve"> Stadium in London, England annually since 2007.  These games, known as the International Series, are slated to expand in the next several years as the NFL’s international popularity grows.  </w:t>
      </w:r>
      <w:r w:rsidR="005763CC">
        <w:t xml:space="preserve">The addition of 2 regular season games for the NFL would certainly afford more teams the opportunity to play a game internationally and in new locations.  The International Series has had great success in drawing in new fans from foreign markets and is a tremendous opportunity for the league to generate new revenues and bolster its long term economic viability.  </w:t>
      </w:r>
      <w:r w:rsidR="00D039DE">
        <w:t>Also, t</w:t>
      </w:r>
      <w:r w:rsidR="005763CC">
        <w:t xml:space="preserve">he additional revenues generated by an 18 game regular season could be partially allocated to improve benefits for retired players.  </w:t>
      </w:r>
    </w:p>
    <w:p w:rsidR="00CE20EA" w:rsidRDefault="00770CAE" w:rsidP="00890373">
      <w:pPr>
        <w:pStyle w:val="Heading2"/>
      </w:pPr>
      <w:bookmarkStart w:id="7" w:name="_Toc306536819"/>
      <w:r>
        <w:t>Costs</w:t>
      </w:r>
      <w:bookmarkEnd w:id="7"/>
    </w:p>
    <w:p w:rsidR="00770CAE" w:rsidRDefault="00770CAE" w:rsidP="00890373">
      <w:pPr>
        <w:spacing w:line="480" w:lineRule="auto"/>
      </w:pPr>
      <w:r>
        <w:tab/>
        <w:t xml:space="preserve">The </w:t>
      </w:r>
      <w:r w:rsidR="00621675">
        <w:t xml:space="preserve">economics </w:t>
      </w:r>
      <w:r>
        <w:t>costs for extending the regular season to include 2 of the current</w:t>
      </w:r>
      <w:r w:rsidR="00621675">
        <w:t>ly slated preseason games fall primarily on the owners since players would have to be compensated for the additional games, and coaches are requesting larger roster sizes so they can be better prepared for potential injures.  Compensation for players covers a broad range from approximately $300,000 to $30</w:t>
      </w:r>
      <w:r w:rsidR="00E17B11">
        <w:t xml:space="preserve"> m</w:t>
      </w:r>
      <w:r w:rsidR="00621675">
        <w:t xml:space="preserve">illion dollars.  The cost of paying for the additional 1 or 2 games (depending on the creation of an additional bye week) could cost owners a significant amount of money.  The current roster size is 53 players with 45 players dressed per week.  Coaches are looking for a roster of 58 with 53 players dressed </w:t>
      </w:r>
      <w:r w:rsidR="00621675">
        <w:lastRenderedPageBreak/>
        <w:t xml:space="preserve">per week.  The cost of the additional 5 players per roster even at the league minimum would be </w:t>
      </w:r>
      <w:r w:rsidR="00E17B11">
        <w:t>significant</w:t>
      </w:r>
      <w:r w:rsidR="00621675">
        <w:t>.</w:t>
      </w:r>
    </w:p>
    <w:p w:rsidR="00621675" w:rsidRDefault="00621675" w:rsidP="00890373">
      <w:pPr>
        <w:spacing w:line="480" w:lineRule="auto"/>
      </w:pPr>
      <w:r>
        <w:tab/>
      </w:r>
      <w:r w:rsidR="00C238BE">
        <w:t xml:space="preserve">A current issue in the NFL season is the </w:t>
      </w:r>
      <w:r w:rsidR="00A5436B">
        <w:t xml:space="preserve">lack of competitiveness at the end of the season.  Often teams </w:t>
      </w:r>
      <w:r w:rsidR="00E17B11">
        <w:t>k</w:t>
      </w:r>
      <w:r w:rsidR="00A5436B">
        <w:t>no</w:t>
      </w:r>
      <w:r w:rsidR="00E17B11">
        <w:t>w</w:t>
      </w:r>
      <w:r w:rsidR="00A5436B">
        <w:t xml:space="preserve"> whether or not they will earn a playoff berth before the final two games and </w:t>
      </w:r>
      <w:r w:rsidR="00E17B11">
        <w:t xml:space="preserve">may </w:t>
      </w:r>
      <w:r w:rsidR="00A5436B">
        <w:t xml:space="preserve">choose to bench starters and not play as competitively.  This competitive attrition could only be exacerbated by the extension of the season.  </w:t>
      </w:r>
      <w:r w:rsidR="00180AE4">
        <w:t xml:space="preserve"> </w:t>
      </w:r>
      <w:r w:rsidR="00A5436B">
        <w:t xml:space="preserve">This would make the additional </w:t>
      </w:r>
      <w:r w:rsidR="0075093C">
        <w:t>games unattractive</w:t>
      </w:r>
      <w:r w:rsidR="00A5436B">
        <w:t xml:space="preserve"> to fans, and is detrimental to the league</w:t>
      </w:r>
      <w:r w:rsidR="00E17B11">
        <w:t>’</w:t>
      </w:r>
      <w:r w:rsidR="00A5436B">
        <w:t xml:space="preserve">s reputation.  </w:t>
      </w:r>
      <w:r w:rsidR="0075093C">
        <w:t>Additionally, if players are injured because of the additional games the final games could end up being a game of attrition instead of a game of skill</w:t>
      </w:r>
      <w:r w:rsidR="005B340E">
        <w:t>.  T</w:t>
      </w:r>
      <w:r w:rsidR="0075093C">
        <w:t xml:space="preserve">he final games </w:t>
      </w:r>
      <w:r w:rsidR="005B340E">
        <w:t>could potentially be</w:t>
      </w:r>
      <w:r w:rsidR="0075093C">
        <w:t xml:space="preserve"> played by the players who were lucky enough not to get injured earlier in the season</w:t>
      </w:r>
      <w:r w:rsidR="005B340E">
        <w:t xml:space="preserve"> and teams would not be able to play at full competitive capacity.  </w:t>
      </w:r>
    </w:p>
    <w:p w:rsidR="00EF33CA" w:rsidRDefault="00EF33CA" w:rsidP="00890373">
      <w:pPr>
        <w:spacing w:line="480" w:lineRule="auto"/>
      </w:pPr>
      <w:r>
        <w:tab/>
        <w:t>A</w:t>
      </w:r>
      <w:r w:rsidR="00F855B6">
        <w:t xml:space="preserve"> big part of any sports league is the </w:t>
      </w:r>
      <w:r w:rsidR="0014781A">
        <w:t>tracking of player stats</w:t>
      </w:r>
      <w:r w:rsidR="00F855B6">
        <w:t xml:space="preserve">.  In football these include stats for undefeated seasons, longest starts in a game, most passing yards, most rushing yards, etc.  If </w:t>
      </w:r>
      <w:r w:rsidR="0014781A">
        <w:t>the football season is extended, it will reduce the integrity of the stats when compared to prior seasons.  While this is a social risk, it has been dealt with in the past in football and in several other sports.  The current 16 game forma</w:t>
      </w:r>
      <w:r w:rsidR="00E17B11">
        <w:t>t was modified as early as 1990</w:t>
      </w:r>
      <w:r w:rsidR="0014781A">
        <w:t xml:space="preserve"> and prior to 1978 teams played a 14 game season.  </w:t>
      </w:r>
    </w:p>
    <w:p w:rsidR="00837079" w:rsidRDefault="00745823" w:rsidP="00890373">
      <w:pPr>
        <w:pStyle w:val="Heading2"/>
      </w:pPr>
      <w:bookmarkStart w:id="8" w:name="_Toc306536820"/>
      <w:r>
        <w:t>Risks</w:t>
      </w:r>
      <w:bookmarkEnd w:id="8"/>
    </w:p>
    <w:p w:rsidR="00F67ABC" w:rsidRDefault="00745823" w:rsidP="00890373">
      <w:pPr>
        <w:spacing w:line="480" w:lineRule="auto"/>
      </w:pPr>
      <w:r>
        <w:tab/>
        <w:t>The economic risks of the new schedule include a decreased profit margin per game and the risk of negative returns for bad seasons.   Since owners will be spending more on increased rosters and increased cost per player and fans will be paying the same per game, the fans will need to respond positively to the new schedule by showing up to the additional games, buying more games, watching the games more on TV, etc.  If this doesn’t occur, there is a risk of decreased</w:t>
      </w:r>
      <w:r w:rsidR="00F67ABC">
        <w:t xml:space="preserve"> profit margin per game.  Also, teams that are bad in previous seasons often have difficulty producing sell-out crowds and selling </w:t>
      </w:r>
      <w:r w:rsidR="00F67ABC">
        <w:lastRenderedPageBreak/>
        <w:t xml:space="preserve">merchandise for the subsequent seasons.  If there is more money invested in making the season longer, the negative return if fans fail to participate the next season will be greater.  </w:t>
      </w:r>
    </w:p>
    <w:p w:rsidR="00ED2F68" w:rsidRDefault="00F67ABC" w:rsidP="00890373">
      <w:pPr>
        <w:spacing w:line="480" w:lineRule="auto"/>
      </w:pPr>
      <w:r>
        <w:tab/>
        <w:t xml:space="preserve">The </w:t>
      </w:r>
      <w:r w:rsidR="00217B3E">
        <w:t xml:space="preserve">social risks of adapting a new schedule are the lack of time to evaluate new players, longer disappointing seasons, and risk of player injury.  </w:t>
      </w:r>
      <w:r w:rsidR="00FE1DA8">
        <w:t xml:space="preserve">Currently the preseason is used as a mechanism for coaches and owners to evaluate new players and </w:t>
      </w:r>
      <w:r w:rsidR="00ED2F68">
        <w:t xml:space="preserve">adjust their rosters down to 53 players.  Performance in the pre-season games is the best way for them to evaluate players since there is no Minor League Football.  Reducing the evaluation time could introduce issues in putting together solid team rosters before the beginning of the season.   </w:t>
      </w:r>
      <w:r w:rsidR="00745823">
        <w:t xml:space="preserve"> </w:t>
      </w:r>
    </w:p>
    <w:p w:rsidR="00745823" w:rsidRDefault="00ED2F68" w:rsidP="00890373">
      <w:pPr>
        <w:spacing w:line="480" w:lineRule="auto"/>
        <w:ind w:firstLine="720"/>
      </w:pPr>
      <w:r>
        <w:t xml:space="preserve">Along with teams who know they will earn a playoff berth before the end of the season, there are also teams who start out bad, and progress badly throughout the season.  This presents itself as a social risk since fans will have to see their team potentially lose 2 additional games.  This could decrease fan satisfaction and be detrimental to the league.  </w:t>
      </w:r>
      <w:r w:rsidR="007877F0">
        <w:t xml:space="preserve">The additional two games also </w:t>
      </w:r>
      <w:r w:rsidR="00442DE9">
        <w:t>increase</w:t>
      </w:r>
      <w:r w:rsidR="007877F0">
        <w:t xml:space="preserve"> the opportunities for player injury.  Player head trauma and other long-term injuries are already a concern in the current schedule.   There is no additional risk factor in the additional two games, but the additional intense activity could have negative long-term effects on </w:t>
      </w:r>
      <w:r w:rsidR="00442DE9">
        <w:t>players’</w:t>
      </w:r>
      <w:r w:rsidR="007877F0">
        <w:t xml:space="preserve"> bodies and potentially reduce the amount of time a player can participate in the league.  </w:t>
      </w:r>
    </w:p>
    <w:p w:rsidR="00CE20EA" w:rsidRDefault="00CE20EA" w:rsidP="00890373">
      <w:pPr>
        <w:pStyle w:val="Heading1"/>
      </w:pPr>
      <w:bookmarkStart w:id="9" w:name="_Toc306536821"/>
      <w:r>
        <w:t>Results</w:t>
      </w:r>
      <w:bookmarkEnd w:id="9"/>
    </w:p>
    <w:p w:rsidR="00890373" w:rsidRDefault="00890373" w:rsidP="00890373">
      <w:pPr>
        <w:pStyle w:val="Heading2"/>
      </w:pPr>
      <w:bookmarkStart w:id="10" w:name="_Toc306536822"/>
      <w:r>
        <w:t>Criteria Results</w:t>
      </w:r>
      <w:bookmarkEnd w:id="10"/>
      <w:r w:rsidR="00CE20EA">
        <w:tab/>
      </w:r>
    </w:p>
    <w:p w:rsidR="00CE20EA" w:rsidRDefault="003948F3" w:rsidP="00890373">
      <w:pPr>
        <w:spacing w:line="480" w:lineRule="auto"/>
        <w:ind w:firstLine="720"/>
      </w:pPr>
      <w:r>
        <w:t>For each of the BOCR subnets, the decision networks were built and pair-wise comparisons made for each connection.  After each s</w:t>
      </w:r>
      <w:r w:rsidR="00341280">
        <w:t>ubnet was synthesized, the following</w:t>
      </w:r>
      <w:r>
        <w:t xml:space="preserve"> results were found</w:t>
      </w:r>
      <w:r w:rsidR="00E43E89">
        <w:t xml:space="preserve"> for the preferred alternative</w:t>
      </w:r>
      <w:r>
        <w:t>.</w:t>
      </w:r>
    </w:p>
    <w:p w:rsidR="00341280" w:rsidRDefault="00341280" w:rsidP="00890373">
      <w:pPr>
        <w:spacing w:line="480" w:lineRule="auto"/>
        <w:ind w:firstLine="720"/>
      </w:pPr>
    </w:p>
    <w:tbl>
      <w:tblPr>
        <w:tblStyle w:val="MediumGrid1-Accent3"/>
        <w:tblW w:w="0" w:type="auto"/>
        <w:tblLook w:val="04A0" w:firstRow="1" w:lastRow="0" w:firstColumn="1" w:lastColumn="0" w:noHBand="0" w:noVBand="1"/>
      </w:tblPr>
      <w:tblGrid>
        <w:gridCol w:w="4518"/>
        <w:gridCol w:w="1686"/>
        <w:gridCol w:w="1686"/>
        <w:gridCol w:w="1686"/>
      </w:tblGrid>
      <w:tr w:rsidR="003948F3" w:rsidTr="003948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8" w:type="dxa"/>
          </w:tcPr>
          <w:p w:rsidR="003948F3" w:rsidRPr="003948F3" w:rsidRDefault="003948F3" w:rsidP="00890373">
            <w:pPr>
              <w:rPr>
                <w:sz w:val="28"/>
                <w:szCs w:val="28"/>
              </w:rPr>
            </w:pPr>
            <w:r w:rsidRPr="003948F3">
              <w:rPr>
                <w:sz w:val="28"/>
                <w:szCs w:val="28"/>
              </w:rPr>
              <w:lastRenderedPageBreak/>
              <w:t>BENEFITS:</w:t>
            </w:r>
          </w:p>
        </w:tc>
        <w:tc>
          <w:tcPr>
            <w:tcW w:w="1686" w:type="dxa"/>
          </w:tcPr>
          <w:p w:rsidR="003948F3" w:rsidRDefault="003948F3" w:rsidP="00890373">
            <w:pPr>
              <w:cnfStyle w:val="100000000000" w:firstRow="1" w:lastRow="0" w:firstColumn="0" w:lastColumn="0" w:oddVBand="0" w:evenVBand="0" w:oddHBand="0" w:evenHBand="0" w:firstRowFirstColumn="0" w:firstRowLastColumn="0" w:lastRowFirstColumn="0" w:lastRowLastColumn="0"/>
            </w:pPr>
          </w:p>
        </w:tc>
        <w:tc>
          <w:tcPr>
            <w:tcW w:w="1686" w:type="dxa"/>
          </w:tcPr>
          <w:p w:rsidR="003948F3" w:rsidRDefault="003948F3" w:rsidP="00890373">
            <w:pPr>
              <w:cnfStyle w:val="100000000000" w:firstRow="1" w:lastRow="0" w:firstColumn="0" w:lastColumn="0" w:oddVBand="0" w:evenVBand="0" w:oddHBand="0" w:evenHBand="0" w:firstRowFirstColumn="0" w:firstRowLastColumn="0" w:lastRowFirstColumn="0" w:lastRowLastColumn="0"/>
            </w:pPr>
          </w:p>
        </w:tc>
        <w:tc>
          <w:tcPr>
            <w:tcW w:w="1686" w:type="dxa"/>
          </w:tcPr>
          <w:p w:rsidR="003948F3" w:rsidRDefault="003948F3" w:rsidP="00890373">
            <w:pPr>
              <w:cnfStyle w:val="100000000000" w:firstRow="1" w:lastRow="0" w:firstColumn="0" w:lastColumn="0" w:oddVBand="0" w:evenVBand="0" w:oddHBand="0" w:evenHBand="0" w:firstRowFirstColumn="0" w:firstRowLastColumn="0" w:lastRowFirstColumn="0" w:lastRowLastColumn="0"/>
            </w:pPr>
          </w:p>
        </w:tc>
      </w:tr>
      <w:tr w:rsidR="003948F3" w:rsidTr="003948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8" w:type="dxa"/>
          </w:tcPr>
          <w:p w:rsidR="003948F3" w:rsidRDefault="003948F3" w:rsidP="00890373">
            <w:r>
              <w:t>Alternative</w:t>
            </w:r>
          </w:p>
        </w:tc>
        <w:tc>
          <w:tcPr>
            <w:tcW w:w="1686" w:type="dxa"/>
          </w:tcPr>
          <w:p w:rsidR="003948F3" w:rsidRPr="007E0356" w:rsidRDefault="003948F3" w:rsidP="00890373">
            <w:pPr>
              <w:cnfStyle w:val="000000100000" w:firstRow="0" w:lastRow="0" w:firstColumn="0" w:lastColumn="0" w:oddVBand="0" w:evenVBand="0" w:oddHBand="1" w:evenHBand="0" w:firstRowFirstColumn="0" w:firstRowLastColumn="0" w:lastRowFirstColumn="0" w:lastRowLastColumn="0"/>
              <w:rPr>
                <w:b/>
              </w:rPr>
            </w:pPr>
            <w:r w:rsidRPr="007E0356">
              <w:rPr>
                <w:b/>
              </w:rPr>
              <w:t>Ideals</w:t>
            </w:r>
          </w:p>
        </w:tc>
        <w:tc>
          <w:tcPr>
            <w:tcW w:w="1686" w:type="dxa"/>
          </w:tcPr>
          <w:p w:rsidR="003948F3" w:rsidRPr="007E0356" w:rsidRDefault="003948F3" w:rsidP="00890373">
            <w:pPr>
              <w:cnfStyle w:val="000000100000" w:firstRow="0" w:lastRow="0" w:firstColumn="0" w:lastColumn="0" w:oddVBand="0" w:evenVBand="0" w:oddHBand="1" w:evenHBand="0" w:firstRowFirstColumn="0" w:firstRowLastColumn="0" w:lastRowFirstColumn="0" w:lastRowLastColumn="0"/>
              <w:rPr>
                <w:b/>
              </w:rPr>
            </w:pPr>
            <w:proofErr w:type="spellStart"/>
            <w:r w:rsidRPr="007E0356">
              <w:rPr>
                <w:b/>
              </w:rPr>
              <w:t>Normals</w:t>
            </w:r>
            <w:proofErr w:type="spellEnd"/>
          </w:p>
        </w:tc>
        <w:tc>
          <w:tcPr>
            <w:tcW w:w="1686" w:type="dxa"/>
          </w:tcPr>
          <w:p w:rsidR="003948F3" w:rsidRPr="007E0356" w:rsidRDefault="003948F3" w:rsidP="00890373">
            <w:pPr>
              <w:cnfStyle w:val="000000100000" w:firstRow="0" w:lastRow="0" w:firstColumn="0" w:lastColumn="0" w:oddVBand="0" w:evenVBand="0" w:oddHBand="1" w:evenHBand="0" w:firstRowFirstColumn="0" w:firstRowLastColumn="0" w:lastRowFirstColumn="0" w:lastRowLastColumn="0"/>
              <w:rPr>
                <w:b/>
              </w:rPr>
            </w:pPr>
            <w:r w:rsidRPr="007E0356">
              <w:rPr>
                <w:b/>
              </w:rPr>
              <w:t>Raw</w:t>
            </w:r>
          </w:p>
        </w:tc>
      </w:tr>
      <w:tr w:rsidR="003948F3" w:rsidTr="003948F3">
        <w:tc>
          <w:tcPr>
            <w:cnfStyle w:val="001000000000" w:firstRow="0" w:lastRow="0" w:firstColumn="1" w:lastColumn="0" w:oddVBand="0" w:evenVBand="0" w:oddHBand="0" w:evenHBand="0" w:firstRowFirstColumn="0" w:firstRowLastColumn="0" w:lastRowFirstColumn="0" w:lastRowLastColumn="0"/>
            <w:tcW w:w="4518" w:type="dxa"/>
          </w:tcPr>
          <w:p w:rsidR="003948F3" w:rsidRPr="003948F3" w:rsidRDefault="003948F3" w:rsidP="00890373">
            <w:pPr>
              <w:rPr>
                <w:b w:val="0"/>
              </w:rPr>
            </w:pPr>
            <w:r w:rsidRPr="003948F3">
              <w:rPr>
                <w:b w:val="0"/>
              </w:rPr>
              <w:t>Keep Current Schedule (4-Pre; 16-Regular)</w:t>
            </w:r>
          </w:p>
        </w:tc>
        <w:tc>
          <w:tcPr>
            <w:tcW w:w="1686" w:type="dxa"/>
          </w:tcPr>
          <w:p w:rsidR="003948F3" w:rsidRDefault="003948F3" w:rsidP="00890373">
            <w:pPr>
              <w:cnfStyle w:val="000000000000" w:firstRow="0" w:lastRow="0" w:firstColumn="0" w:lastColumn="0" w:oddVBand="0" w:evenVBand="0" w:oddHBand="0" w:evenHBand="0" w:firstRowFirstColumn="0" w:firstRowLastColumn="0" w:lastRowFirstColumn="0" w:lastRowLastColumn="0"/>
            </w:pPr>
            <w:r>
              <w:t>.263276</w:t>
            </w:r>
          </w:p>
        </w:tc>
        <w:tc>
          <w:tcPr>
            <w:tcW w:w="1686" w:type="dxa"/>
          </w:tcPr>
          <w:p w:rsidR="003948F3" w:rsidRDefault="003948F3" w:rsidP="00890373">
            <w:pPr>
              <w:cnfStyle w:val="000000000000" w:firstRow="0" w:lastRow="0" w:firstColumn="0" w:lastColumn="0" w:oddVBand="0" w:evenVBand="0" w:oddHBand="0" w:evenHBand="0" w:firstRowFirstColumn="0" w:firstRowLastColumn="0" w:lastRowFirstColumn="0" w:lastRowLastColumn="0"/>
            </w:pPr>
            <w:r>
              <w:t>.208407</w:t>
            </w:r>
          </w:p>
        </w:tc>
        <w:tc>
          <w:tcPr>
            <w:tcW w:w="1686" w:type="dxa"/>
          </w:tcPr>
          <w:p w:rsidR="003948F3" w:rsidRDefault="003948F3" w:rsidP="00890373">
            <w:pPr>
              <w:cnfStyle w:val="000000000000" w:firstRow="0" w:lastRow="0" w:firstColumn="0" w:lastColumn="0" w:oddVBand="0" w:evenVBand="0" w:oddHBand="0" w:evenHBand="0" w:firstRowFirstColumn="0" w:firstRowLastColumn="0" w:lastRowFirstColumn="0" w:lastRowLastColumn="0"/>
            </w:pPr>
            <w:r>
              <w:t>.263276</w:t>
            </w:r>
          </w:p>
        </w:tc>
      </w:tr>
      <w:tr w:rsidR="003948F3" w:rsidTr="003948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8" w:type="dxa"/>
          </w:tcPr>
          <w:p w:rsidR="003948F3" w:rsidRDefault="003948F3" w:rsidP="00890373">
            <w:r>
              <w:t>New Schedule (2-Pre; 18-Regular)</w:t>
            </w:r>
          </w:p>
        </w:tc>
        <w:tc>
          <w:tcPr>
            <w:tcW w:w="1686" w:type="dxa"/>
          </w:tcPr>
          <w:p w:rsidR="003948F3" w:rsidRDefault="003948F3" w:rsidP="00890373">
            <w:pPr>
              <w:cnfStyle w:val="000000100000" w:firstRow="0" w:lastRow="0" w:firstColumn="0" w:lastColumn="0" w:oddVBand="0" w:evenVBand="0" w:oddHBand="1" w:evenHBand="0" w:firstRowFirstColumn="0" w:firstRowLastColumn="0" w:lastRowFirstColumn="0" w:lastRowLastColumn="0"/>
            </w:pPr>
            <w:r>
              <w:t>1.000000</w:t>
            </w:r>
          </w:p>
        </w:tc>
        <w:tc>
          <w:tcPr>
            <w:tcW w:w="1686" w:type="dxa"/>
          </w:tcPr>
          <w:p w:rsidR="003948F3" w:rsidRDefault="003948F3" w:rsidP="00890373">
            <w:pPr>
              <w:cnfStyle w:val="000000100000" w:firstRow="0" w:lastRow="0" w:firstColumn="0" w:lastColumn="0" w:oddVBand="0" w:evenVBand="0" w:oddHBand="1" w:evenHBand="0" w:firstRowFirstColumn="0" w:firstRowLastColumn="0" w:lastRowFirstColumn="0" w:lastRowLastColumn="0"/>
            </w:pPr>
            <w:r>
              <w:t>.791593</w:t>
            </w:r>
          </w:p>
        </w:tc>
        <w:tc>
          <w:tcPr>
            <w:tcW w:w="1686" w:type="dxa"/>
          </w:tcPr>
          <w:p w:rsidR="003948F3" w:rsidRDefault="003948F3" w:rsidP="00890373">
            <w:pPr>
              <w:cnfStyle w:val="000000100000" w:firstRow="0" w:lastRow="0" w:firstColumn="0" w:lastColumn="0" w:oddVBand="0" w:evenVBand="0" w:oddHBand="1" w:evenHBand="0" w:firstRowFirstColumn="0" w:firstRowLastColumn="0" w:lastRowFirstColumn="0" w:lastRowLastColumn="0"/>
            </w:pPr>
            <w:r>
              <w:t>1.000000</w:t>
            </w:r>
          </w:p>
        </w:tc>
      </w:tr>
    </w:tbl>
    <w:p w:rsidR="003948F3" w:rsidRDefault="003948F3" w:rsidP="00890373">
      <w:pPr>
        <w:spacing w:line="480" w:lineRule="auto"/>
      </w:pPr>
    </w:p>
    <w:tbl>
      <w:tblPr>
        <w:tblStyle w:val="MediumGrid1-Accent1"/>
        <w:tblW w:w="0" w:type="auto"/>
        <w:tblLook w:val="04A0" w:firstRow="1" w:lastRow="0" w:firstColumn="1" w:lastColumn="0" w:noHBand="0" w:noVBand="1"/>
      </w:tblPr>
      <w:tblGrid>
        <w:gridCol w:w="4518"/>
        <w:gridCol w:w="1686"/>
        <w:gridCol w:w="1686"/>
        <w:gridCol w:w="1686"/>
      </w:tblGrid>
      <w:tr w:rsidR="003948F3" w:rsidTr="003948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8" w:type="dxa"/>
          </w:tcPr>
          <w:p w:rsidR="003948F3" w:rsidRPr="003948F3" w:rsidRDefault="003948F3" w:rsidP="00341280">
            <w:pPr>
              <w:rPr>
                <w:sz w:val="28"/>
                <w:szCs w:val="28"/>
              </w:rPr>
            </w:pPr>
            <w:r>
              <w:rPr>
                <w:sz w:val="28"/>
                <w:szCs w:val="28"/>
              </w:rPr>
              <w:t>O</w:t>
            </w:r>
            <w:r w:rsidR="00341280">
              <w:rPr>
                <w:sz w:val="28"/>
                <w:szCs w:val="28"/>
              </w:rPr>
              <w:t>PPORTUNITIES</w:t>
            </w:r>
            <w:r w:rsidRPr="003948F3">
              <w:rPr>
                <w:sz w:val="28"/>
                <w:szCs w:val="28"/>
              </w:rPr>
              <w:t>:</w:t>
            </w:r>
          </w:p>
        </w:tc>
        <w:tc>
          <w:tcPr>
            <w:tcW w:w="1686" w:type="dxa"/>
          </w:tcPr>
          <w:p w:rsidR="003948F3" w:rsidRDefault="003948F3" w:rsidP="00890373">
            <w:pPr>
              <w:cnfStyle w:val="100000000000" w:firstRow="1" w:lastRow="0" w:firstColumn="0" w:lastColumn="0" w:oddVBand="0" w:evenVBand="0" w:oddHBand="0" w:evenHBand="0" w:firstRowFirstColumn="0" w:firstRowLastColumn="0" w:lastRowFirstColumn="0" w:lastRowLastColumn="0"/>
            </w:pPr>
          </w:p>
        </w:tc>
        <w:tc>
          <w:tcPr>
            <w:tcW w:w="1686" w:type="dxa"/>
          </w:tcPr>
          <w:p w:rsidR="003948F3" w:rsidRDefault="003948F3" w:rsidP="00890373">
            <w:pPr>
              <w:cnfStyle w:val="100000000000" w:firstRow="1" w:lastRow="0" w:firstColumn="0" w:lastColumn="0" w:oddVBand="0" w:evenVBand="0" w:oddHBand="0" w:evenHBand="0" w:firstRowFirstColumn="0" w:firstRowLastColumn="0" w:lastRowFirstColumn="0" w:lastRowLastColumn="0"/>
            </w:pPr>
          </w:p>
        </w:tc>
        <w:tc>
          <w:tcPr>
            <w:tcW w:w="1686" w:type="dxa"/>
          </w:tcPr>
          <w:p w:rsidR="003948F3" w:rsidRDefault="003948F3" w:rsidP="00890373">
            <w:pPr>
              <w:cnfStyle w:val="100000000000" w:firstRow="1" w:lastRow="0" w:firstColumn="0" w:lastColumn="0" w:oddVBand="0" w:evenVBand="0" w:oddHBand="0" w:evenHBand="0" w:firstRowFirstColumn="0" w:firstRowLastColumn="0" w:lastRowFirstColumn="0" w:lastRowLastColumn="0"/>
            </w:pPr>
          </w:p>
        </w:tc>
      </w:tr>
      <w:tr w:rsidR="003948F3" w:rsidTr="003948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8" w:type="dxa"/>
          </w:tcPr>
          <w:p w:rsidR="003948F3" w:rsidRDefault="003948F3" w:rsidP="00890373">
            <w:r>
              <w:t>Alternative</w:t>
            </w:r>
          </w:p>
        </w:tc>
        <w:tc>
          <w:tcPr>
            <w:tcW w:w="1686" w:type="dxa"/>
          </w:tcPr>
          <w:p w:rsidR="003948F3" w:rsidRPr="007E0356" w:rsidRDefault="003948F3" w:rsidP="00890373">
            <w:pPr>
              <w:cnfStyle w:val="000000100000" w:firstRow="0" w:lastRow="0" w:firstColumn="0" w:lastColumn="0" w:oddVBand="0" w:evenVBand="0" w:oddHBand="1" w:evenHBand="0" w:firstRowFirstColumn="0" w:firstRowLastColumn="0" w:lastRowFirstColumn="0" w:lastRowLastColumn="0"/>
              <w:rPr>
                <w:b/>
              </w:rPr>
            </w:pPr>
            <w:r w:rsidRPr="007E0356">
              <w:rPr>
                <w:b/>
              </w:rPr>
              <w:t>Ideals</w:t>
            </w:r>
          </w:p>
        </w:tc>
        <w:tc>
          <w:tcPr>
            <w:tcW w:w="1686" w:type="dxa"/>
          </w:tcPr>
          <w:p w:rsidR="003948F3" w:rsidRPr="007E0356" w:rsidRDefault="003948F3" w:rsidP="00890373">
            <w:pPr>
              <w:cnfStyle w:val="000000100000" w:firstRow="0" w:lastRow="0" w:firstColumn="0" w:lastColumn="0" w:oddVBand="0" w:evenVBand="0" w:oddHBand="1" w:evenHBand="0" w:firstRowFirstColumn="0" w:firstRowLastColumn="0" w:lastRowFirstColumn="0" w:lastRowLastColumn="0"/>
              <w:rPr>
                <w:b/>
              </w:rPr>
            </w:pPr>
            <w:proofErr w:type="spellStart"/>
            <w:r w:rsidRPr="007E0356">
              <w:rPr>
                <w:b/>
              </w:rPr>
              <w:t>Normals</w:t>
            </w:r>
            <w:proofErr w:type="spellEnd"/>
          </w:p>
        </w:tc>
        <w:tc>
          <w:tcPr>
            <w:tcW w:w="1686" w:type="dxa"/>
          </w:tcPr>
          <w:p w:rsidR="003948F3" w:rsidRPr="007E0356" w:rsidRDefault="003948F3" w:rsidP="00890373">
            <w:pPr>
              <w:cnfStyle w:val="000000100000" w:firstRow="0" w:lastRow="0" w:firstColumn="0" w:lastColumn="0" w:oddVBand="0" w:evenVBand="0" w:oddHBand="1" w:evenHBand="0" w:firstRowFirstColumn="0" w:firstRowLastColumn="0" w:lastRowFirstColumn="0" w:lastRowLastColumn="0"/>
              <w:rPr>
                <w:b/>
              </w:rPr>
            </w:pPr>
            <w:r w:rsidRPr="007E0356">
              <w:rPr>
                <w:b/>
              </w:rPr>
              <w:t>Raw</w:t>
            </w:r>
          </w:p>
        </w:tc>
      </w:tr>
      <w:tr w:rsidR="003948F3" w:rsidTr="003948F3">
        <w:tc>
          <w:tcPr>
            <w:cnfStyle w:val="001000000000" w:firstRow="0" w:lastRow="0" w:firstColumn="1" w:lastColumn="0" w:oddVBand="0" w:evenVBand="0" w:oddHBand="0" w:evenHBand="0" w:firstRowFirstColumn="0" w:firstRowLastColumn="0" w:lastRowFirstColumn="0" w:lastRowLastColumn="0"/>
            <w:tcW w:w="4518" w:type="dxa"/>
          </w:tcPr>
          <w:p w:rsidR="003948F3" w:rsidRPr="003948F3" w:rsidRDefault="003948F3" w:rsidP="00890373">
            <w:pPr>
              <w:rPr>
                <w:b w:val="0"/>
              </w:rPr>
            </w:pPr>
            <w:r w:rsidRPr="003948F3">
              <w:rPr>
                <w:b w:val="0"/>
              </w:rPr>
              <w:t>Keep Current Schedule (4-Pre; 16-Regular)</w:t>
            </w:r>
          </w:p>
        </w:tc>
        <w:tc>
          <w:tcPr>
            <w:tcW w:w="1686" w:type="dxa"/>
          </w:tcPr>
          <w:p w:rsidR="003948F3" w:rsidRDefault="003948F3" w:rsidP="00890373">
            <w:pPr>
              <w:cnfStyle w:val="000000000000" w:firstRow="0" w:lastRow="0" w:firstColumn="0" w:lastColumn="0" w:oddVBand="0" w:evenVBand="0" w:oddHBand="0" w:evenHBand="0" w:firstRowFirstColumn="0" w:firstRowLastColumn="0" w:lastRowFirstColumn="0" w:lastRowLastColumn="0"/>
            </w:pPr>
            <w:r>
              <w:t>.</w:t>
            </w:r>
            <w:r w:rsidR="007E0356">
              <w:t>616201</w:t>
            </w:r>
          </w:p>
        </w:tc>
        <w:tc>
          <w:tcPr>
            <w:tcW w:w="1686" w:type="dxa"/>
          </w:tcPr>
          <w:p w:rsidR="003948F3" w:rsidRDefault="003948F3" w:rsidP="00890373">
            <w:pPr>
              <w:cnfStyle w:val="000000000000" w:firstRow="0" w:lastRow="0" w:firstColumn="0" w:lastColumn="0" w:oddVBand="0" w:evenVBand="0" w:oddHBand="0" w:evenHBand="0" w:firstRowFirstColumn="0" w:firstRowLastColumn="0" w:lastRowFirstColumn="0" w:lastRowLastColumn="0"/>
            </w:pPr>
            <w:r>
              <w:t>.</w:t>
            </w:r>
            <w:r w:rsidR="007E0356">
              <w:t>381265</w:t>
            </w:r>
          </w:p>
        </w:tc>
        <w:tc>
          <w:tcPr>
            <w:tcW w:w="1686" w:type="dxa"/>
          </w:tcPr>
          <w:p w:rsidR="003948F3" w:rsidRDefault="007E0356" w:rsidP="00890373">
            <w:pPr>
              <w:cnfStyle w:val="000000000000" w:firstRow="0" w:lastRow="0" w:firstColumn="0" w:lastColumn="0" w:oddVBand="0" w:evenVBand="0" w:oddHBand="0" w:evenHBand="0" w:firstRowFirstColumn="0" w:firstRowLastColumn="0" w:lastRowFirstColumn="0" w:lastRowLastColumn="0"/>
            </w:pPr>
            <w:r>
              <w:t>.616201</w:t>
            </w:r>
          </w:p>
        </w:tc>
      </w:tr>
      <w:tr w:rsidR="003948F3" w:rsidTr="003948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8" w:type="dxa"/>
          </w:tcPr>
          <w:p w:rsidR="003948F3" w:rsidRDefault="003948F3" w:rsidP="00890373">
            <w:r>
              <w:t>New Schedule (2-Pre; 18-Regular)</w:t>
            </w:r>
          </w:p>
        </w:tc>
        <w:tc>
          <w:tcPr>
            <w:tcW w:w="1686" w:type="dxa"/>
          </w:tcPr>
          <w:p w:rsidR="003948F3" w:rsidRDefault="003948F3" w:rsidP="00890373">
            <w:pPr>
              <w:cnfStyle w:val="000000100000" w:firstRow="0" w:lastRow="0" w:firstColumn="0" w:lastColumn="0" w:oddVBand="0" w:evenVBand="0" w:oddHBand="1" w:evenHBand="0" w:firstRowFirstColumn="0" w:firstRowLastColumn="0" w:lastRowFirstColumn="0" w:lastRowLastColumn="0"/>
            </w:pPr>
            <w:r>
              <w:t>1.000000</w:t>
            </w:r>
          </w:p>
        </w:tc>
        <w:tc>
          <w:tcPr>
            <w:tcW w:w="1686" w:type="dxa"/>
          </w:tcPr>
          <w:p w:rsidR="003948F3" w:rsidRDefault="003948F3" w:rsidP="00890373">
            <w:pPr>
              <w:cnfStyle w:val="000000100000" w:firstRow="0" w:lastRow="0" w:firstColumn="0" w:lastColumn="0" w:oddVBand="0" w:evenVBand="0" w:oddHBand="1" w:evenHBand="0" w:firstRowFirstColumn="0" w:firstRowLastColumn="0" w:lastRowFirstColumn="0" w:lastRowLastColumn="0"/>
            </w:pPr>
            <w:r>
              <w:t>.</w:t>
            </w:r>
            <w:r w:rsidR="007E0356">
              <w:t>618735</w:t>
            </w:r>
          </w:p>
        </w:tc>
        <w:tc>
          <w:tcPr>
            <w:tcW w:w="1686" w:type="dxa"/>
          </w:tcPr>
          <w:p w:rsidR="003948F3" w:rsidRDefault="003948F3" w:rsidP="00890373">
            <w:pPr>
              <w:cnfStyle w:val="000000100000" w:firstRow="0" w:lastRow="0" w:firstColumn="0" w:lastColumn="0" w:oddVBand="0" w:evenVBand="0" w:oddHBand="1" w:evenHBand="0" w:firstRowFirstColumn="0" w:firstRowLastColumn="0" w:lastRowFirstColumn="0" w:lastRowLastColumn="0"/>
            </w:pPr>
            <w:r>
              <w:t>1.000000</w:t>
            </w:r>
          </w:p>
        </w:tc>
      </w:tr>
    </w:tbl>
    <w:p w:rsidR="003948F3" w:rsidRDefault="003948F3" w:rsidP="00890373">
      <w:pPr>
        <w:spacing w:line="480" w:lineRule="auto"/>
      </w:pPr>
    </w:p>
    <w:tbl>
      <w:tblPr>
        <w:tblStyle w:val="MediumGrid1-Accent2"/>
        <w:tblW w:w="0" w:type="auto"/>
        <w:tblLook w:val="04A0" w:firstRow="1" w:lastRow="0" w:firstColumn="1" w:lastColumn="0" w:noHBand="0" w:noVBand="1"/>
      </w:tblPr>
      <w:tblGrid>
        <w:gridCol w:w="4518"/>
        <w:gridCol w:w="1686"/>
        <w:gridCol w:w="1686"/>
        <w:gridCol w:w="1686"/>
      </w:tblGrid>
      <w:tr w:rsidR="007E0356" w:rsidTr="007E03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8" w:type="dxa"/>
          </w:tcPr>
          <w:p w:rsidR="007E0356" w:rsidRPr="003948F3" w:rsidRDefault="00341280" w:rsidP="00890373">
            <w:pPr>
              <w:rPr>
                <w:sz w:val="28"/>
                <w:szCs w:val="28"/>
              </w:rPr>
            </w:pPr>
            <w:r>
              <w:rPr>
                <w:sz w:val="28"/>
                <w:szCs w:val="28"/>
              </w:rPr>
              <w:t>COSTS</w:t>
            </w:r>
            <w:r w:rsidR="007E0356" w:rsidRPr="003948F3">
              <w:rPr>
                <w:sz w:val="28"/>
                <w:szCs w:val="28"/>
              </w:rPr>
              <w:t>:</w:t>
            </w:r>
          </w:p>
        </w:tc>
        <w:tc>
          <w:tcPr>
            <w:tcW w:w="1686" w:type="dxa"/>
          </w:tcPr>
          <w:p w:rsidR="007E0356" w:rsidRDefault="007E0356" w:rsidP="00890373">
            <w:pPr>
              <w:cnfStyle w:val="100000000000" w:firstRow="1" w:lastRow="0" w:firstColumn="0" w:lastColumn="0" w:oddVBand="0" w:evenVBand="0" w:oddHBand="0" w:evenHBand="0" w:firstRowFirstColumn="0" w:firstRowLastColumn="0" w:lastRowFirstColumn="0" w:lastRowLastColumn="0"/>
            </w:pPr>
          </w:p>
        </w:tc>
        <w:tc>
          <w:tcPr>
            <w:tcW w:w="1686" w:type="dxa"/>
          </w:tcPr>
          <w:p w:rsidR="007E0356" w:rsidRDefault="007E0356" w:rsidP="00890373">
            <w:pPr>
              <w:cnfStyle w:val="100000000000" w:firstRow="1" w:lastRow="0" w:firstColumn="0" w:lastColumn="0" w:oddVBand="0" w:evenVBand="0" w:oddHBand="0" w:evenHBand="0" w:firstRowFirstColumn="0" w:firstRowLastColumn="0" w:lastRowFirstColumn="0" w:lastRowLastColumn="0"/>
            </w:pPr>
          </w:p>
        </w:tc>
        <w:tc>
          <w:tcPr>
            <w:tcW w:w="1686" w:type="dxa"/>
          </w:tcPr>
          <w:p w:rsidR="007E0356" w:rsidRDefault="007E0356" w:rsidP="00890373">
            <w:pPr>
              <w:cnfStyle w:val="100000000000" w:firstRow="1" w:lastRow="0" w:firstColumn="0" w:lastColumn="0" w:oddVBand="0" w:evenVBand="0" w:oddHBand="0" w:evenHBand="0" w:firstRowFirstColumn="0" w:firstRowLastColumn="0" w:lastRowFirstColumn="0" w:lastRowLastColumn="0"/>
            </w:pPr>
          </w:p>
        </w:tc>
      </w:tr>
      <w:tr w:rsidR="007E0356" w:rsidTr="007E03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8" w:type="dxa"/>
          </w:tcPr>
          <w:p w:rsidR="007E0356" w:rsidRPr="00732225" w:rsidRDefault="007E0356" w:rsidP="00890373">
            <w:r w:rsidRPr="00732225">
              <w:t>Alternative</w:t>
            </w:r>
          </w:p>
        </w:tc>
        <w:tc>
          <w:tcPr>
            <w:tcW w:w="1686" w:type="dxa"/>
          </w:tcPr>
          <w:p w:rsidR="007E0356" w:rsidRPr="007E0356" w:rsidRDefault="007E0356" w:rsidP="00890373">
            <w:pPr>
              <w:cnfStyle w:val="000000100000" w:firstRow="0" w:lastRow="0" w:firstColumn="0" w:lastColumn="0" w:oddVBand="0" w:evenVBand="0" w:oddHBand="1" w:evenHBand="0" w:firstRowFirstColumn="0" w:firstRowLastColumn="0" w:lastRowFirstColumn="0" w:lastRowLastColumn="0"/>
              <w:rPr>
                <w:b/>
              </w:rPr>
            </w:pPr>
            <w:r w:rsidRPr="007E0356">
              <w:rPr>
                <w:b/>
              </w:rPr>
              <w:t>Ideals</w:t>
            </w:r>
          </w:p>
        </w:tc>
        <w:tc>
          <w:tcPr>
            <w:tcW w:w="1686" w:type="dxa"/>
          </w:tcPr>
          <w:p w:rsidR="007E0356" w:rsidRPr="007E0356" w:rsidRDefault="007E0356" w:rsidP="00890373">
            <w:pPr>
              <w:cnfStyle w:val="000000100000" w:firstRow="0" w:lastRow="0" w:firstColumn="0" w:lastColumn="0" w:oddVBand="0" w:evenVBand="0" w:oddHBand="1" w:evenHBand="0" w:firstRowFirstColumn="0" w:firstRowLastColumn="0" w:lastRowFirstColumn="0" w:lastRowLastColumn="0"/>
              <w:rPr>
                <w:b/>
              </w:rPr>
            </w:pPr>
            <w:proofErr w:type="spellStart"/>
            <w:r w:rsidRPr="007E0356">
              <w:rPr>
                <w:b/>
              </w:rPr>
              <w:t>Normals</w:t>
            </w:r>
            <w:proofErr w:type="spellEnd"/>
          </w:p>
        </w:tc>
        <w:tc>
          <w:tcPr>
            <w:tcW w:w="1686" w:type="dxa"/>
          </w:tcPr>
          <w:p w:rsidR="007E0356" w:rsidRPr="007E0356" w:rsidRDefault="007E0356" w:rsidP="00890373">
            <w:pPr>
              <w:cnfStyle w:val="000000100000" w:firstRow="0" w:lastRow="0" w:firstColumn="0" w:lastColumn="0" w:oddVBand="0" w:evenVBand="0" w:oddHBand="1" w:evenHBand="0" w:firstRowFirstColumn="0" w:firstRowLastColumn="0" w:lastRowFirstColumn="0" w:lastRowLastColumn="0"/>
              <w:rPr>
                <w:b/>
              </w:rPr>
            </w:pPr>
            <w:r w:rsidRPr="007E0356">
              <w:rPr>
                <w:b/>
              </w:rPr>
              <w:t>Raw</w:t>
            </w:r>
          </w:p>
        </w:tc>
      </w:tr>
      <w:tr w:rsidR="007E0356" w:rsidTr="007E0356">
        <w:tc>
          <w:tcPr>
            <w:cnfStyle w:val="001000000000" w:firstRow="0" w:lastRow="0" w:firstColumn="1" w:lastColumn="0" w:oddVBand="0" w:evenVBand="0" w:oddHBand="0" w:evenHBand="0" w:firstRowFirstColumn="0" w:firstRowLastColumn="0" w:lastRowFirstColumn="0" w:lastRowLastColumn="0"/>
            <w:tcW w:w="4518" w:type="dxa"/>
          </w:tcPr>
          <w:p w:rsidR="007E0356" w:rsidRPr="007E0356" w:rsidRDefault="007E0356" w:rsidP="00890373">
            <w:pPr>
              <w:rPr>
                <w:b w:val="0"/>
              </w:rPr>
            </w:pPr>
            <w:r w:rsidRPr="007E0356">
              <w:rPr>
                <w:b w:val="0"/>
              </w:rPr>
              <w:t>Keep Current Schedule (4-Pre; 16-Regular)</w:t>
            </w:r>
          </w:p>
        </w:tc>
        <w:tc>
          <w:tcPr>
            <w:tcW w:w="1686" w:type="dxa"/>
          </w:tcPr>
          <w:p w:rsidR="007E0356" w:rsidRPr="00FA4BE7" w:rsidRDefault="007E0356" w:rsidP="00890373">
            <w:pPr>
              <w:cnfStyle w:val="000000000000" w:firstRow="0" w:lastRow="0" w:firstColumn="0" w:lastColumn="0" w:oddVBand="0" w:evenVBand="0" w:oddHBand="0" w:evenHBand="0" w:firstRowFirstColumn="0" w:firstRowLastColumn="0" w:lastRowFirstColumn="0" w:lastRowLastColumn="0"/>
            </w:pPr>
            <w:r w:rsidRPr="00FA4BE7">
              <w:t>0.363524</w:t>
            </w:r>
          </w:p>
        </w:tc>
        <w:tc>
          <w:tcPr>
            <w:tcW w:w="1686" w:type="dxa"/>
          </w:tcPr>
          <w:p w:rsidR="007E0356" w:rsidRPr="00FA4BE7" w:rsidRDefault="007E0356" w:rsidP="00890373">
            <w:pPr>
              <w:cnfStyle w:val="000000000000" w:firstRow="0" w:lastRow="0" w:firstColumn="0" w:lastColumn="0" w:oddVBand="0" w:evenVBand="0" w:oddHBand="0" w:evenHBand="0" w:firstRowFirstColumn="0" w:firstRowLastColumn="0" w:lastRowFirstColumn="0" w:lastRowLastColumn="0"/>
            </w:pPr>
            <w:r w:rsidRPr="00FA4BE7">
              <w:t>0.266606</w:t>
            </w:r>
          </w:p>
        </w:tc>
        <w:tc>
          <w:tcPr>
            <w:tcW w:w="1686" w:type="dxa"/>
          </w:tcPr>
          <w:p w:rsidR="007E0356" w:rsidRPr="00FA4BE7" w:rsidRDefault="007E0356" w:rsidP="00890373">
            <w:pPr>
              <w:cnfStyle w:val="000000000000" w:firstRow="0" w:lastRow="0" w:firstColumn="0" w:lastColumn="0" w:oddVBand="0" w:evenVBand="0" w:oddHBand="0" w:evenHBand="0" w:firstRowFirstColumn="0" w:firstRowLastColumn="0" w:lastRowFirstColumn="0" w:lastRowLastColumn="0"/>
            </w:pPr>
            <w:r w:rsidRPr="00FA4BE7">
              <w:t>0.357143</w:t>
            </w:r>
          </w:p>
        </w:tc>
      </w:tr>
      <w:tr w:rsidR="007E0356" w:rsidTr="007E03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8" w:type="dxa"/>
          </w:tcPr>
          <w:p w:rsidR="007E0356" w:rsidRPr="00FA4BE7" w:rsidRDefault="007E0356" w:rsidP="00890373">
            <w:r w:rsidRPr="00FA4BE7">
              <w:t>New Schedule (2-Pre; 18-Regular)</w:t>
            </w:r>
          </w:p>
        </w:tc>
        <w:tc>
          <w:tcPr>
            <w:tcW w:w="1686" w:type="dxa"/>
          </w:tcPr>
          <w:p w:rsidR="007E0356" w:rsidRPr="00FA4BE7" w:rsidRDefault="007E0356" w:rsidP="00890373">
            <w:pPr>
              <w:cnfStyle w:val="000000100000" w:firstRow="0" w:lastRow="0" w:firstColumn="0" w:lastColumn="0" w:oddVBand="0" w:evenVBand="0" w:oddHBand="1" w:evenHBand="0" w:firstRowFirstColumn="0" w:firstRowLastColumn="0" w:lastRowFirstColumn="0" w:lastRowLastColumn="0"/>
            </w:pPr>
            <w:r w:rsidRPr="00FA4BE7">
              <w:t>1.000000</w:t>
            </w:r>
          </w:p>
        </w:tc>
        <w:tc>
          <w:tcPr>
            <w:tcW w:w="1686" w:type="dxa"/>
          </w:tcPr>
          <w:p w:rsidR="007E0356" w:rsidRPr="00FA4BE7" w:rsidRDefault="007E0356" w:rsidP="00890373">
            <w:pPr>
              <w:cnfStyle w:val="000000100000" w:firstRow="0" w:lastRow="0" w:firstColumn="0" w:lastColumn="0" w:oddVBand="0" w:evenVBand="0" w:oddHBand="1" w:evenHBand="0" w:firstRowFirstColumn="0" w:firstRowLastColumn="0" w:lastRowFirstColumn="0" w:lastRowLastColumn="0"/>
            </w:pPr>
            <w:r w:rsidRPr="00FA4BE7">
              <w:t>0.733394</w:t>
            </w:r>
          </w:p>
        </w:tc>
        <w:tc>
          <w:tcPr>
            <w:tcW w:w="1686" w:type="dxa"/>
          </w:tcPr>
          <w:p w:rsidR="007E0356" w:rsidRPr="00FA4BE7" w:rsidRDefault="007E0356" w:rsidP="00890373">
            <w:pPr>
              <w:cnfStyle w:val="000000100000" w:firstRow="0" w:lastRow="0" w:firstColumn="0" w:lastColumn="0" w:oddVBand="0" w:evenVBand="0" w:oddHBand="1" w:evenHBand="0" w:firstRowFirstColumn="0" w:firstRowLastColumn="0" w:lastRowFirstColumn="0" w:lastRowLastColumn="0"/>
            </w:pPr>
            <w:r w:rsidRPr="00FA4BE7">
              <w:t>0.982446</w:t>
            </w:r>
          </w:p>
        </w:tc>
      </w:tr>
    </w:tbl>
    <w:p w:rsidR="00890373" w:rsidRDefault="00890373" w:rsidP="00890373">
      <w:pPr>
        <w:spacing w:line="480" w:lineRule="auto"/>
      </w:pPr>
    </w:p>
    <w:tbl>
      <w:tblPr>
        <w:tblStyle w:val="MediumGrid1-Accent4"/>
        <w:tblW w:w="0" w:type="auto"/>
        <w:tblLook w:val="04A0" w:firstRow="1" w:lastRow="0" w:firstColumn="1" w:lastColumn="0" w:noHBand="0" w:noVBand="1"/>
      </w:tblPr>
      <w:tblGrid>
        <w:gridCol w:w="4518"/>
        <w:gridCol w:w="1686"/>
        <w:gridCol w:w="1686"/>
        <w:gridCol w:w="1686"/>
      </w:tblGrid>
      <w:tr w:rsidR="007E0356" w:rsidTr="007E03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8" w:type="dxa"/>
          </w:tcPr>
          <w:p w:rsidR="007E0356" w:rsidRPr="003948F3" w:rsidRDefault="00341280" w:rsidP="00890373">
            <w:pPr>
              <w:rPr>
                <w:sz w:val="28"/>
                <w:szCs w:val="28"/>
              </w:rPr>
            </w:pPr>
            <w:r>
              <w:rPr>
                <w:sz w:val="28"/>
                <w:szCs w:val="28"/>
              </w:rPr>
              <w:t>RISKS</w:t>
            </w:r>
            <w:r w:rsidR="007E0356" w:rsidRPr="003948F3">
              <w:rPr>
                <w:sz w:val="28"/>
                <w:szCs w:val="28"/>
              </w:rPr>
              <w:t>:</w:t>
            </w:r>
          </w:p>
        </w:tc>
        <w:tc>
          <w:tcPr>
            <w:tcW w:w="1686" w:type="dxa"/>
          </w:tcPr>
          <w:p w:rsidR="007E0356" w:rsidRDefault="007E0356" w:rsidP="00890373">
            <w:pPr>
              <w:cnfStyle w:val="100000000000" w:firstRow="1" w:lastRow="0" w:firstColumn="0" w:lastColumn="0" w:oddVBand="0" w:evenVBand="0" w:oddHBand="0" w:evenHBand="0" w:firstRowFirstColumn="0" w:firstRowLastColumn="0" w:lastRowFirstColumn="0" w:lastRowLastColumn="0"/>
            </w:pPr>
          </w:p>
        </w:tc>
        <w:tc>
          <w:tcPr>
            <w:tcW w:w="1686" w:type="dxa"/>
          </w:tcPr>
          <w:p w:rsidR="007E0356" w:rsidRDefault="007E0356" w:rsidP="00890373">
            <w:pPr>
              <w:cnfStyle w:val="100000000000" w:firstRow="1" w:lastRow="0" w:firstColumn="0" w:lastColumn="0" w:oddVBand="0" w:evenVBand="0" w:oddHBand="0" w:evenHBand="0" w:firstRowFirstColumn="0" w:firstRowLastColumn="0" w:lastRowFirstColumn="0" w:lastRowLastColumn="0"/>
            </w:pPr>
          </w:p>
        </w:tc>
        <w:tc>
          <w:tcPr>
            <w:tcW w:w="1686" w:type="dxa"/>
          </w:tcPr>
          <w:p w:rsidR="007E0356" w:rsidRDefault="007E0356" w:rsidP="00890373">
            <w:pPr>
              <w:cnfStyle w:val="100000000000" w:firstRow="1" w:lastRow="0" w:firstColumn="0" w:lastColumn="0" w:oddVBand="0" w:evenVBand="0" w:oddHBand="0" w:evenHBand="0" w:firstRowFirstColumn="0" w:firstRowLastColumn="0" w:lastRowFirstColumn="0" w:lastRowLastColumn="0"/>
            </w:pPr>
          </w:p>
        </w:tc>
      </w:tr>
      <w:tr w:rsidR="007E0356" w:rsidTr="007E03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8" w:type="dxa"/>
          </w:tcPr>
          <w:p w:rsidR="007E0356" w:rsidRPr="007E0356" w:rsidRDefault="007E0356" w:rsidP="00890373">
            <w:r w:rsidRPr="007E0356">
              <w:t>Alternative</w:t>
            </w:r>
          </w:p>
        </w:tc>
        <w:tc>
          <w:tcPr>
            <w:tcW w:w="1686" w:type="dxa"/>
          </w:tcPr>
          <w:p w:rsidR="007E0356" w:rsidRPr="007E0356" w:rsidRDefault="007E0356" w:rsidP="00890373">
            <w:pPr>
              <w:cnfStyle w:val="000000100000" w:firstRow="0" w:lastRow="0" w:firstColumn="0" w:lastColumn="0" w:oddVBand="0" w:evenVBand="0" w:oddHBand="1" w:evenHBand="0" w:firstRowFirstColumn="0" w:firstRowLastColumn="0" w:lastRowFirstColumn="0" w:lastRowLastColumn="0"/>
              <w:rPr>
                <w:b/>
              </w:rPr>
            </w:pPr>
            <w:r w:rsidRPr="007E0356">
              <w:rPr>
                <w:b/>
              </w:rPr>
              <w:t>Ideals</w:t>
            </w:r>
          </w:p>
        </w:tc>
        <w:tc>
          <w:tcPr>
            <w:tcW w:w="1686" w:type="dxa"/>
          </w:tcPr>
          <w:p w:rsidR="007E0356" w:rsidRPr="007E0356" w:rsidRDefault="007E0356" w:rsidP="00890373">
            <w:pPr>
              <w:cnfStyle w:val="000000100000" w:firstRow="0" w:lastRow="0" w:firstColumn="0" w:lastColumn="0" w:oddVBand="0" w:evenVBand="0" w:oddHBand="1" w:evenHBand="0" w:firstRowFirstColumn="0" w:firstRowLastColumn="0" w:lastRowFirstColumn="0" w:lastRowLastColumn="0"/>
              <w:rPr>
                <w:b/>
              </w:rPr>
            </w:pPr>
            <w:proofErr w:type="spellStart"/>
            <w:r w:rsidRPr="007E0356">
              <w:rPr>
                <w:b/>
              </w:rPr>
              <w:t>Normals</w:t>
            </w:r>
            <w:proofErr w:type="spellEnd"/>
          </w:p>
        </w:tc>
        <w:tc>
          <w:tcPr>
            <w:tcW w:w="1686" w:type="dxa"/>
          </w:tcPr>
          <w:p w:rsidR="007E0356" w:rsidRPr="007E0356" w:rsidRDefault="007E0356" w:rsidP="00890373">
            <w:pPr>
              <w:cnfStyle w:val="000000100000" w:firstRow="0" w:lastRow="0" w:firstColumn="0" w:lastColumn="0" w:oddVBand="0" w:evenVBand="0" w:oddHBand="1" w:evenHBand="0" w:firstRowFirstColumn="0" w:firstRowLastColumn="0" w:lastRowFirstColumn="0" w:lastRowLastColumn="0"/>
              <w:rPr>
                <w:b/>
              </w:rPr>
            </w:pPr>
            <w:r w:rsidRPr="007E0356">
              <w:rPr>
                <w:b/>
              </w:rPr>
              <w:t>Raw</w:t>
            </w:r>
          </w:p>
        </w:tc>
      </w:tr>
      <w:tr w:rsidR="007E0356" w:rsidTr="007E0356">
        <w:tc>
          <w:tcPr>
            <w:cnfStyle w:val="001000000000" w:firstRow="0" w:lastRow="0" w:firstColumn="1" w:lastColumn="0" w:oddVBand="0" w:evenVBand="0" w:oddHBand="0" w:evenHBand="0" w:firstRowFirstColumn="0" w:firstRowLastColumn="0" w:lastRowFirstColumn="0" w:lastRowLastColumn="0"/>
            <w:tcW w:w="4518" w:type="dxa"/>
          </w:tcPr>
          <w:p w:rsidR="007E0356" w:rsidRPr="007E0356" w:rsidRDefault="007E0356" w:rsidP="00890373">
            <w:pPr>
              <w:rPr>
                <w:b w:val="0"/>
              </w:rPr>
            </w:pPr>
            <w:r w:rsidRPr="007E0356">
              <w:rPr>
                <w:b w:val="0"/>
              </w:rPr>
              <w:t>Keep Current Schedule (4-Pre; 16-Regular)</w:t>
            </w:r>
          </w:p>
        </w:tc>
        <w:tc>
          <w:tcPr>
            <w:tcW w:w="1686" w:type="dxa"/>
          </w:tcPr>
          <w:p w:rsidR="007E0356" w:rsidRPr="00A90B07" w:rsidRDefault="007E0356" w:rsidP="00890373">
            <w:pPr>
              <w:cnfStyle w:val="000000000000" w:firstRow="0" w:lastRow="0" w:firstColumn="0" w:lastColumn="0" w:oddVBand="0" w:evenVBand="0" w:oddHBand="0" w:evenHBand="0" w:firstRowFirstColumn="0" w:firstRowLastColumn="0" w:lastRowFirstColumn="0" w:lastRowLastColumn="0"/>
            </w:pPr>
            <w:r w:rsidRPr="00A90B07">
              <w:t>0.208566</w:t>
            </w:r>
          </w:p>
        </w:tc>
        <w:tc>
          <w:tcPr>
            <w:tcW w:w="1686" w:type="dxa"/>
          </w:tcPr>
          <w:p w:rsidR="007E0356" w:rsidRPr="00A90B07" w:rsidRDefault="007E0356" w:rsidP="00890373">
            <w:pPr>
              <w:cnfStyle w:val="000000000000" w:firstRow="0" w:lastRow="0" w:firstColumn="0" w:lastColumn="0" w:oddVBand="0" w:evenVBand="0" w:oddHBand="0" w:evenHBand="0" w:firstRowFirstColumn="0" w:firstRowLastColumn="0" w:lastRowFirstColumn="0" w:lastRowLastColumn="0"/>
            </w:pPr>
            <w:r w:rsidRPr="00A90B07">
              <w:t>0.172573</w:t>
            </w:r>
          </w:p>
        </w:tc>
        <w:tc>
          <w:tcPr>
            <w:tcW w:w="1686" w:type="dxa"/>
          </w:tcPr>
          <w:p w:rsidR="007E0356" w:rsidRPr="00A90B07" w:rsidRDefault="007E0356" w:rsidP="00890373">
            <w:pPr>
              <w:cnfStyle w:val="000000000000" w:firstRow="0" w:lastRow="0" w:firstColumn="0" w:lastColumn="0" w:oddVBand="0" w:evenVBand="0" w:oddHBand="0" w:evenHBand="0" w:firstRowFirstColumn="0" w:firstRowLastColumn="0" w:lastRowFirstColumn="0" w:lastRowLastColumn="0"/>
            </w:pPr>
            <w:r w:rsidRPr="00A90B07">
              <w:t>0.208566</w:t>
            </w:r>
          </w:p>
        </w:tc>
      </w:tr>
      <w:tr w:rsidR="007E0356" w:rsidTr="007E03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8" w:type="dxa"/>
          </w:tcPr>
          <w:p w:rsidR="007E0356" w:rsidRPr="00A90B07" w:rsidRDefault="007E0356" w:rsidP="00890373">
            <w:r w:rsidRPr="00A90B07">
              <w:t>New Schedule (2-Pre; 18-Regular)</w:t>
            </w:r>
          </w:p>
        </w:tc>
        <w:tc>
          <w:tcPr>
            <w:tcW w:w="1686" w:type="dxa"/>
          </w:tcPr>
          <w:p w:rsidR="007E0356" w:rsidRPr="00A90B07" w:rsidRDefault="007E0356" w:rsidP="00890373">
            <w:pPr>
              <w:cnfStyle w:val="000000100000" w:firstRow="0" w:lastRow="0" w:firstColumn="0" w:lastColumn="0" w:oddVBand="0" w:evenVBand="0" w:oddHBand="1" w:evenHBand="0" w:firstRowFirstColumn="0" w:firstRowLastColumn="0" w:lastRowFirstColumn="0" w:lastRowLastColumn="0"/>
            </w:pPr>
            <w:r w:rsidRPr="00A90B07">
              <w:t>1.000000</w:t>
            </w:r>
          </w:p>
        </w:tc>
        <w:tc>
          <w:tcPr>
            <w:tcW w:w="1686" w:type="dxa"/>
          </w:tcPr>
          <w:p w:rsidR="007E0356" w:rsidRPr="00A90B07" w:rsidRDefault="007E0356" w:rsidP="00890373">
            <w:pPr>
              <w:cnfStyle w:val="000000100000" w:firstRow="0" w:lastRow="0" w:firstColumn="0" w:lastColumn="0" w:oddVBand="0" w:evenVBand="0" w:oddHBand="1" w:evenHBand="0" w:firstRowFirstColumn="0" w:firstRowLastColumn="0" w:lastRowFirstColumn="0" w:lastRowLastColumn="0"/>
            </w:pPr>
            <w:r w:rsidRPr="00A90B07">
              <w:t>0.827427</w:t>
            </w:r>
          </w:p>
        </w:tc>
        <w:tc>
          <w:tcPr>
            <w:tcW w:w="1686" w:type="dxa"/>
          </w:tcPr>
          <w:p w:rsidR="007E0356" w:rsidRPr="00A90B07" w:rsidRDefault="007E0356" w:rsidP="00890373">
            <w:pPr>
              <w:cnfStyle w:val="000000100000" w:firstRow="0" w:lastRow="0" w:firstColumn="0" w:lastColumn="0" w:oddVBand="0" w:evenVBand="0" w:oddHBand="1" w:evenHBand="0" w:firstRowFirstColumn="0" w:firstRowLastColumn="0" w:lastRowFirstColumn="0" w:lastRowLastColumn="0"/>
            </w:pPr>
            <w:r w:rsidRPr="00A90B07">
              <w:t>1.000000</w:t>
            </w:r>
          </w:p>
        </w:tc>
      </w:tr>
    </w:tbl>
    <w:p w:rsidR="007E0356" w:rsidRDefault="007E0356" w:rsidP="00890373">
      <w:pPr>
        <w:spacing w:line="480" w:lineRule="auto"/>
      </w:pPr>
    </w:p>
    <w:p w:rsidR="00890373" w:rsidRDefault="00890373" w:rsidP="00890373">
      <w:pPr>
        <w:pStyle w:val="Heading2"/>
      </w:pPr>
      <w:bookmarkStart w:id="11" w:name="_Toc306536823"/>
      <w:r>
        <w:t>Ratings Model</w:t>
      </w:r>
      <w:bookmarkEnd w:id="11"/>
      <w:r w:rsidR="000F3921">
        <w:tab/>
      </w:r>
    </w:p>
    <w:p w:rsidR="000F3921" w:rsidRDefault="000F3921" w:rsidP="00890373">
      <w:pPr>
        <w:spacing w:line="480" w:lineRule="auto"/>
        <w:ind w:firstLine="720"/>
      </w:pPr>
      <w:r>
        <w:t>The New Schedule</w:t>
      </w:r>
      <w:r w:rsidR="00732225">
        <w:t xml:space="preserve"> proved to be the best in both b</w:t>
      </w:r>
      <w:r>
        <w:t xml:space="preserve">enefits and </w:t>
      </w:r>
      <w:r w:rsidR="00732225">
        <w:t>o</w:t>
      </w:r>
      <w:r>
        <w:t>pportunities but also to be the most costly and risky.  A ratings model was then developed based</w:t>
      </w:r>
      <w:r w:rsidR="00F02D31">
        <w:t xml:space="preserve"> upon</w:t>
      </w:r>
      <w:r>
        <w:t xml:space="preserve"> the New Schedule; below are the priorities that were assigned after the ratings were completed.</w:t>
      </w:r>
    </w:p>
    <w:p w:rsidR="000F3921" w:rsidRDefault="000F3921" w:rsidP="00890373">
      <w:pPr>
        <w:spacing w:line="480" w:lineRule="auto"/>
        <w:jc w:val="center"/>
      </w:pPr>
      <w:r>
        <w:rPr>
          <w:noProof/>
        </w:rPr>
        <w:drawing>
          <wp:inline distT="0" distB="0" distL="0" distR="0">
            <wp:extent cx="4572000" cy="1552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4572000" cy="1552575"/>
                    </a:xfrm>
                    <a:prstGeom prst="rect">
                      <a:avLst/>
                    </a:prstGeom>
                  </pic:spPr>
                </pic:pic>
              </a:graphicData>
            </a:graphic>
          </wp:inline>
        </w:drawing>
      </w:r>
    </w:p>
    <w:p w:rsidR="00890373" w:rsidRDefault="00890373" w:rsidP="00890373">
      <w:pPr>
        <w:pStyle w:val="Heading2"/>
      </w:pPr>
      <w:bookmarkStart w:id="12" w:name="_Toc306536824"/>
      <w:r>
        <w:lastRenderedPageBreak/>
        <w:t>Top-Level Results</w:t>
      </w:r>
      <w:bookmarkEnd w:id="12"/>
    </w:p>
    <w:p w:rsidR="005C1E9A" w:rsidRDefault="008A0476" w:rsidP="00890373">
      <w:pPr>
        <w:spacing w:line="480" w:lineRule="auto"/>
        <w:ind w:firstLine="720"/>
      </w:pPr>
      <w:r>
        <w:t xml:space="preserve">The final synthesis at the top-level model </w:t>
      </w:r>
      <w:r w:rsidR="001177EB">
        <w:t xml:space="preserve">gives </w:t>
      </w:r>
      <w:r w:rsidR="00717248">
        <w:t xml:space="preserve">the below results.  Long-Term Viability is the highest weighted priority, followed by Financial Growth and Player Safety.  The </w:t>
      </w:r>
      <w:r w:rsidR="001A5CC9">
        <w:t xml:space="preserve">New Schedule </w:t>
      </w:r>
      <w:r w:rsidR="00732225">
        <w:t>is</w:t>
      </w:r>
      <w:r w:rsidR="001A5CC9">
        <w:t xml:space="preserve"> most preferable when u</w:t>
      </w:r>
      <w:r w:rsidR="000C2531">
        <w:t>sing the additive formula (long</w:t>
      </w:r>
      <w:r w:rsidR="001A5CC9">
        <w:t xml:space="preserve">-term result), but the Current Schedule </w:t>
      </w:r>
      <w:r w:rsidR="00732225">
        <w:t>is</w:t>
      </w:r>
      <w:r w:rsidR="001A5CC9">
        <w:t xml:space="preserve"> the most preferable usi</w:t>
      </w:r>
      <w:r w:rsidR="00333807">
        <w:t>ng the multip</w:t>
      </w:r>
      <w:r w:rsidR="000C2531">
        <w:t>licative formula.   In the long</w:t>
      </w:r>
      <w:r w:rsidR="00333807">
        <w:t xml:space="preserve">-term, switching the new schedule would be best due to the potential of increased financial growth from television rights and fan participation.  In the </w:t>
      </w:r>
      <w:r w:rsidR="000C2531">
        <w:t>short</w:t>
      </w:r>
      <w:r w:rsidR="00333807">
        <w:t xml:space="preserve">-term, the current model has proven to </w:t>
      </w:r>
      <w:r w:rsidR="001177EB">
        <w:t>be successful</w:t>
      </w:r>
      <w:r w:rsidR="00333807">
        <w:t xml:space="preserve"> and sustainable</w:t>
      </w:r>
      <w:r w:rsidR="000C2531">
        <w:t xml:space="preserve"> while not increasing the risks and costs of the NFL</w:t>
      </w:r>
      <w:r w:rsidR="00333807">
        <w:t xml:space="preserve">. </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1680"/>
        <w:gridCol w:w="1680"/>
        <w:gridCol w:w="1680"/>
      </w:tblGrid>
      <w:tr w:rsidR="000C0526" w:rsidTr="000C05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8" w:type="dxa"/>
            <w:tcBorders>
              <w:top w:val="none" w:sz="0" w:space="0" w:color="auto"/>
              <w:left w:val="none" w:sz="0" w:space="0" w:color="auto"/>
              <w:bottom w:val="none" w:sz="0" w:space="0" w:color="auto"/>
              <w:right w:val="none" w:sz="0" w:space="0" w:color="auto"/>
            </w:tcBorders>
          </w:tcPr>
          <w:p w:rsidR="000C0526" w:rsidRDefault="000C0526" w:rsidP="00890373">
            <w:r w:rsidRPr="000C0526">
              <w:rPr>
                <w:sz w:val="28"/>
              </w:rPr>
              <w:t>OVERALL RESULT</w:t>
            </w:r>
            <w:r>
              <w:rPr>
                <w:sz w:val="28"/>
              </w:rPr>
              <w:t>:</w:t>
            </w:r>
          </w:p>
        </w:tc>
        <w:tc>
          <w:tcPr>
            <w:tcW w:w="1680" w:type="dxa"/>
            <w:tcBorders>
              <w:top w:val="none" w:sz="0" w:space="0" w:color="auto"/>
              <w:left w:val="none" w:sz="0" w:space="0" w:color="auto"/>
              <w:bottom w:val="none" w:sz="0" w:space="0" w:color="auto"/>
              <w:right w:val="none" w:sz="0" w:space="0" w:color="auto"/>
            </w:tcBorders>
          </w:tcPr>
          <w:p w:rsidR="000C0526" w:rsidRDefault="000C0526" w:rsidP="00890373">
            <w:pPr>
              <w:cnfStyle w:val="100000000000" w:firstRow="1" w:lastRow="0" w:firstColumn="0" w:lastColumn="0" w:oddVBand="0" w:evenVBand="0" w:oddHBand="0" w:evenHBand="0" w:firstRowFirstColumn="0" w:firstRowLastColumn="0" w:lastRowFirstColumn="0" w:lastRowLastColumn="0"/>
            </w:pPr>
          </w:p>
        </w:tc>
        <w:tc>
          <w:tcPr>
            <w:tcW w:w="1680" w:type="dxa"/>
            <w:tcBorders>
              <w:top w:val="none" w:sz="0" w:space="0" w:color="auto"/>
              <w:left w:val="none" w:sz="0" w:space="0" w:color="auto"/>
              <w:bottom w:val="none" w:sz="0" w:space="0" w:color="auto"/>
              <w:right w:val="none" w:sz="0" w:space="0" w:color="auto"/>
            </w:tcBorders>
          </w:tcPr>
          <w:p w:rsidR="000C0526" w:rsidRDefault="000C0526" w:rsidP="00890373">
            <w:pPr>
              <w:cnfStyle w:val="100000000000" w:firstRow="1" w:lastRow="0" w:firstColumn="0" w:lastColumn="0" w:oddVBand="0" w:evenVBand="0" w:oddHBand="0" w:evenHBand="0" w:firstRowFirstColumn="0" w:firstRowLastColumn="0" w:lastRowFirstColumn="0" w:lastRowLastColumn="0"/>
            </w:pPr>
          </w:p>
        </w:tc>
        <w:tc>
          <w:tcPr>
            <w:tcW w:w="1680" w:type="dxa"/>
            <w:tcBorders>
              <w:top w:val="none" w:sz="0" w:space="0" w:color="auto"/>
              <w:left w:val="none" w:sz="0" w:space="0" w:color="auto"/>
              <w:bottom w:val="none" w:sz="0" w:space="0" w:color="auto"/>
              <w:right w:val="none" w:sz="0" w:space="0" w:color="auto"/>
            </w:tcBorders>
          </w:tcPr>
          <w:p w:rsidR="000C0526" w:rsidRDefault="000C0526" w:rsidP="00890373">
            <w:pPr>
              <w:cnfStyle w:val="100000000000" w:firstRow="1" w:lastRow="0" w:firstColumn="0" w:lastColumn="0" w:oddVBand="0" w:evenVBand="0" w:oddHBand="0" w:evenHBand="0" w:firstRowFirstColumn="0" w:firstRowLastColumn="0" w:lastRowFirstColumn="0" w:lastRowLastColumn="0"/>
            </w:pPr>
          </w:p>
        </w:tc>
      </w:tr>
      <w:tr w:rsidR="000111F2" w:rsidTr="000111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8" w:type="dxa"/>
            <w:tcBorders>
              <w:left w:val="none" w:sz="0" w:space="0" w:color="auto"/>
              <w:right w:val="none" w:sz="0" w:space="0" w:color="auto"/>
            </w:tcBorders>
          </w:tcPr>
          <w:p w:rsidR="000111F2" w:rsidRPr="000111F2" w:rsidRDefault="000111F2" w:rsidP="00890373">
            <w:r w:rsidRPr="000111F2">
              <w:t>Name</w:t>
            </w:r>
          </w:p>
        </w:tc>
        <w:tc>
          <w:tcPr>
            <w:tcW w:w="1680" w:type="dxa"/>
            <w:tcBorders>
              <w:left w:val="none" w:sz="0" w:space="0" w:color="auto"/>
              <w:right w:val="none" w:sz="0" w:space="0" w:color="auto"/>
            </w:tcBorders>
          </w:tcPr>
          <w:p w:rsidR="000111F2" w:rsidRPr="000111F2" w:rsidRDefault="000111F2" w:rsidP="00890373">
            <w:pPr>
              <w:cnfStyle w:val="000000100000" w:firstRow="0" w:lastRow="0" w:firstColumn="0" w:lastColumn="0" w:oddVBand="0" w:evenVBand="0" w:oddHBand="1" w:evenHBand="0" w:firstRowFirstColumn="0" w:firstRowLastColumn="0" w:lastRowFirstColumn="0" w:lastRowLastColumn="0"/>
              <w:rPr>
                <w:b/>
              </w:rPr>
            </w:pPr>
            <w:r w:rsidRPr="000111F2">
              <w:rPr>
                <w:b/>
              </w:rPr>
              <w:t>Normalized By Cluster</w:t>
            </w:r>
          </w:p>
        </w:tc>
        <w:tc>
          <w:tcPr>
            <w:tcW w:w="1680" w:type="dxa"/>
            <w:tcBorders>
              <w:left w:val="none" w:sz="0" w:space="0" w:color="auto"/>
              <w:right w:val="none" w:sz="0" w:space="0" w:color="auto"/>
            </w:tcBorders>
          </w:tcPr>
          <w:p w:rsidR="000111F2" w:rsidRPr="000111F2" w:rsidRDefault="000111F2" w:rsidP="00890373">
            <w:pPr>
              <w:cnfStyle w:val="000000100000" w:firstRow="0" w:lastRow="0" w:firstColumn="0" w:lastColumn="0" w:oddVBand="0" w:evenVBand="0" w:oddHBand="1" w:evenHBand="0" w:firstRowFirstColumn="0" w:firstRowLastColumn="0" w:lastRowFirstColumn="0" w:lastRowLastColumn="0"/>
              <w:rPr>
                <w:b/>
              </w:rPr>
            </w:pPr>
            <w:r w:rsidRPr="000111F2">
              <w:rPr>
                <w:b/>
              </w:rPr>
              <w:t>Limiting</w:t>
            </w:r>
          </w:p>
        </w:tc>
        <w:tc>
          <w:tcPr>
            <w:tcW w:w="1680" w:type="dxa"/>
            <w:tcBorders>
              <w:left w:val="none" w:sz="0" w:space="0" w:color="auto"/>
              <w:right w:val="none" w:sz="0" w:space="0" w:color="auto"/>
            </w:tcBorders>
          </w:tcPr>
          <w:p w:rsidR="000111F2" w:rsidRPr="002E6DC0" w:rsidRDefault="000111F2" w:rsidP="00890373">
            <w:pPr>
              <w:cnfStyle w:val="000000100000" w:firstRow="0" w:lastRow="0" w:firstColumn="0" w:lastColumn="0" w:oddVBand="0" w:evenVBand="0" w:oddHBand="1" w:evenHBand="0" w:firstRowFirstColumn="0" w:firstRowLastColumn="0" w:lastRowFirstColumn="0" w:lastRowLastColumn="0"/>
            </w:pPr>
          </w:p>
        </w:tc>
      </w:tr>
      <w:tr w:rsidR="000111F2" w:rsidTr="000C0526">
        <w:tc>
          <w:tcPr>
            <w:cnfStyle w:val="001000000000" w:firstRow="0" w:lastRow="0" w:firstColumn="1" w:lastColumn="0" w:oddVBand="0" w:evenVBand="0" w:oddHBand="0" w:evenHBand="0" w:firstRowFirstColumn="0" w:firstRowLastColumn="0" w:lastRowFirstColumn="0" w:lastRowLastColumn="0"/>
            <w:tcW w:w="4518" w:type="dxa"/>
          </w:tcPr>
          <w:p w:rsidR="000111F2" w:rsidRPr="000111F2" w:rsidRDefault="000111F2" w:rsidP="00890373">
            <w:pPr>
              <w:rPr>
                <w:b w:val="0"/>
              </w:rPr>
            </w:pPr>
            <w:r w:rsidRPr="000111F2">
              <w:rPr>
                <w:b w:val="0"/>
              </w:rPr>
              <w:t>Financial Growth</w:t>
            </w:r>
          </w:p>
        </w:tc>
        <w:tc>
          <w:tcPr>
            <w:tcW w:w="1680" w:type="dxa"/>
          </w:tcPr>
          <w:p w:rsidR="000111F2" w:rsidRPr="002E6DC0" w:rsidRDefault="000111F2" w:rsidP="00890373">
            <w:pPr>
              <w:cnfStyle w:val="000000000000" w:firstRow="0" w:lastRow="0" w:firstColumn="0" w:lastColumn="0" w:oddVBand="0" w:evenVBand="0" w:oddHBand="0" w:evenHBand="0" w:firstRowFirstColumn="0" w:firstRowLastColumn="0" w:lastRowFirstColumn="0" w:lastRowLastColumn="0"/>
            </w:pPr>
            <w:r w:rsidRPr="002E6DC0">
              <w:t>0.23849</w:t>
            </w:r>
          </w:p>
        </w:tc>
        <w:tc>
          <w:tcPr>
            <w:tcW w:w="1680" w:type="dxa"/>
          </w:tcPr>
          <w:p w:rsidR="000111F2" w:rsidRPr="002E6DC0" w:rsidRDefault="000111F2" w:rsidP="00890373">
            <w:pPr>
              <w:cnfStyle w:val="000000000000" w:firstRow="0" w:lastRow="0" w:firstColumn="0" w:lastColumn="0" w:oddVBand="0" w:evenVBand="0" w:oddHBand="0" w:evenHBand="0" w:firstRowFirstColumn="0" w:firstRowLastColumn="0" w:lastRowFirstColumn="0" w:lastRowLastColumn="0"/>
            </w:pPr>
            <w:r w:rsidRPr="002E6DC0">
              <w:t>0.238487</w:t>
            </w:r>
          </w:p>
        </w:tc>
        <w:tc>
          <w:tcPr>
            <w:tcW w:w="1680" w:type="dxa"/>
          </w:tcPr>
          <w:p w:rsidR="000111F2" w:rsidRPr="002E6DC0" w:rsidRDefault="000111F2" w:rsidP="00890373">
            <w:pPr>
              <w:cnfStyle w:val="000000000000" w:firstRow="0" w:lastRow="0" w:firstColumn="0" w:lastColumn="0" w:oddVBand="0" w:evenVBand="0" w:oddHBand="0" w:evenHBand="0" w:firstRowFirstColumn="0" w:firstRowLastColumn="0" w:lastRowFirstColumn="0" w:lastRowLastColumn="0"/>
            </w:pPr>
          </w:p>
        </w:tc>
      </w:tr>
      <w:tr w:rsidR="000111F2" w:rsidTr="000111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8" w:type="dxa"/>
            <w:tcBorders>
              <w:left w:val="none" w:sz="0" w:space="0" w:color="auto"/>
              <w:right w:val="none" w:sz="0" w:space="0" w:color="auto"/>
            </w:tcBorders>
          </w:tcPr>
          <w:p w:rsidR="000111F2" w:rsidRPr="002E6DC0" w:rsidRDefault="000111F2" w:rsidP="00890373">
            <w:r w:rsidRPr="002E6DC0">
              <w:t>Long-Term Economic Viability</w:t>
            </w:r>
          </w:p>
        </w:tc>
        <w:tc>
          <w:tcPr>
            <w:tcW w:w="1680" w:type="dxa"/>
            <w:tcBorders>
              <w:left w:val="none" w:sz="0" w:space="0" w:color="auto"/>
              <w:right w:val="none" w:sz="0" w:space="0" w:color="auto"/>
            </w:tcBorders>
          </w:tcPr>
          <w:p w:rsidR="000111F2" w:rsidRPr="000111F2" w:rsidRDefault="000111F2" w:rsidP="00890373">
            <w:pPr>
              <w:cnfStyle w:val="000000100000" w:firstRow="0" w:lastRow="0" w:firstColumn="0" w:lastColumn="0" w:oddVBand="0" w:evenVBand="0" w:oddHBand="1" w:evenHBand="0" w:firstRowFirstColumn="0" w:firstRowLastColumn="0" w:lastRowFirstColumn="0" w:lastRowLastColumn="0"/>
              <w:rPr>
                <w:b/>
              </w:rPr>
            </w:pPr>
            <w:r w:rsidRPr="000111F2">
              <w:rPr>
                <w:b/>
              </w:rPr>
              <w:t>0.62501</w:t>
            </w:r>
          </w:p>
        </w:tc>
        <w:tc>
          <w:tcPr>
            <w:tcW w:w="1680" w:type="dxa"/>
            <w:tcBorders>
              <w:left w:val="none" w:sz="0" w:space="0" w:color="auto"/>
              <w:right w:val="none" w:sz="0" w:space="0" w:color="auto"/>
            </w:tcBorders>
          </w:tcPr>
          <w:p w:rsidR="000111F2" w:rsidRPr="002E6DC0" w:rsidRDefault="000111F2" w:rsidP="00890373">
            <w:pPr>
              <w:cnfStyle w:val="000000100000" w:firstRow="0" w:lastRow="0" w:firstColumn="0" w:lastColumn="0" w:oddVBand="0" w:evenVBand="0" w:oddHBand="1" w:evenHBand="0" w:firstRowFirstColumn="0" w:firstRowLastColumn="0" w:lastRowFirstColumn="0" w:lastRowLastColumn="0"/>
            </w:pPr>
            <w:r w:rsidRPr="002E6DC0">
              <w:t>0.625013</w:t>
            </w:r>
          </w:p>
        </w:tc>
        <w:tc>
          <w:tcPr>
            <w:tcW w:w="1680" w:type="dxa"/>
            <w:tcBorders>
              <w:left w:val="none" w:sz="0" w:space="0" w:color="auto"/>
              <w:right w:val="none" w:sz="0" w:space="0" w:color="auto"/>
            </w:tcBorders>
          </w:tcPr>
          <w:p w:rsidR="000111F2" w:rsidRPr="002E6DC0" w:rsidRDefault="000111F2" w:rsidP="00890373">
            <w:pPr>
              <w:cnfStyle w:val="000000100000" w:firstRow="0" w:lastRow="0" w:firstColumn="0" w:lastColumn="0" w:oddVBand="0" w:evenVBand="0" w:oddHBand="1" w:evenHBand="0" w:firstRowFirstColumn="0" w:firstRowLastColumn="0" w:lastRowFirstColumn="0" w:lastRowLastColumn="0"/>
            </w:pPr>
          </w:p>
        </w:tc>
      </w:tr>
      <w:tr w:rsidR="000111F2" w:rsidTr="000C0526">
        <w:tc>
          <w:tcPr>
            <w:cnfStyle w:val="001000000000" w:firstRow="0" w:lastRow="0" w:firstColumn="1" w:lastColumn="0" w:oddVBand="0" w:evenVBand="0" w:oddHBand="0" w:evenHBand="0" w:firstRowFirstColumn="0" w:firstRowLastColumn="0" w:lastRowFirstColumn="0" w:lastRowLastColumn="0"/>
            <w:tcW w:w="4518" w:type="dxa"/>
          </w:tcPr>
          <w:p w:rsidR="000111F2" w:rsidRPr="000111F2" w:rsidRDefault="000111F2" w:rsidP="00890373">
            <w:pPr>
              <w:rPr>
                <w:b w:val="0"/>
              </w:rPr>
            </w:pPr>
            <w:r w:rsidRPr="000111F2">
              <w:rPr>
                <w:b w:val="0"/>
              </w:rPr>
              <w:t>Player Safety</w:t>
            </w:r>
          </w:p>
        </w:tc>
        <w:tc>
          <w:tcPr>
            <w:tcW w:w="1680" w:type="dxa"/>
          </w:tcPr>
          <w:p w:rsidR="000111F2" w:rsidRPr="002E6DC0" w:rsidRDefault="000111F2" w:rsidP="00890373">
            <w:pPr>
              <w:cnfStyle w:val="000000000000" w:firstRow="0" w:lastRow="0" w:firstColumn="0" w:lastColumn="0" w:oddVBand="0" w:evenVBand="0" w:oddHBand="0" w:evenHBand="0" w:firstRowFirstColumn="0" w:firstRowLastColumn="0" w:lastRowFirstColumn="0" w:lastRowLastColumn="0"/>
            </w:pPr>
            <w:r w:rsidRPr="002E6DC0">
              <w:t>0.13650</w:t>
            </w:r>
          </w:p>
        </w:tc>
        <w:tc>
          <w:tcPr>
            <w:tcW w:w="1680" w:type="dxa"/>
          </w:tcPr>
          <w:p w:rsidR="000111F2" w:rsidRDefault="000111F2" w:rsidP="00890373">
            <w:pPr>
              <w:cnfStyle w:val="000000000000" w:firstRow="0" w:lastRow="0" w:firstColumn="0" w:lastColumn="0" w:oddVBand="0" w:evenVBand="0" w:oddHBand="0" w:evenHBand="0" w:firstRowFirstColumn="0" w:firstRowLastColumn="0" w:lastRowFirstColumn="0" w:lastRowLastColumn="0"/>
            </w:pPr>
            <w:r w:rsidRPr="002E6DC0">
              <w:t>0.136500</w:t>
            </w:r>
          </w:p>
        </w:tc>
        <w:tc>
          <w:tcPr>
            <w:tcW w:w="1680" w:type="dxa"/>
          </w:tcPr>
          <w:p w:rsidR="000111F2" w:rsidRPr="002E6DC0" w:rsidRDefault="000111F2" w:rsidP="00890373">
            <w:pPr>
              <w:cnfStyle w:val="000000000000" w:firstRow="0" w:lastRow="0" w:firstColumn="0" w:lastColumn="0" w:oddVBand="0" w:evenVBand="0" w:oddHBand="0" w:evenHBand="0" w:firstRowFirstColumn="0" w:firstRowLastColumn="0" w:lastRowFirstColumn="0" w:lastRowLastColumn="0"/>
            </w:pPr>
          </w:p>
        </w:tc>
      </w:tr>
      <w:tr w:rsidR="00890373" w:rsidTr="007322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8" w:type="dxa"/>
            <w:tcBorders>
              <w:left w:val="single" w:sz="4" w:space="0" w:color="auto"/>
            </w:tcBorders>
          </w:tcPr>
          <w:p w:rsidR="000C0526" w:rsidRDefault="000C0526" w:rsidP="00890373">
            <w:r>
              <w:t>Additive Formula</w:t>
            </w:r>
          </w:p>
        </w:tc>
        <w:tc>
          <w:tcPr>
            <w:tcW w:w="1680" w:type="dxa"/>
          </w:tcPr>
          <w:p w:rsidR="000C0526" w:rsidRDefault="000C0526" w:rsidP="00890373">
            <w:pPr>
              <w:cnfStyle w:val="000000100000" w:firstRow="0" w:lastRow="0" w:firstColumn="0" w:lastColumn="0" w:oddVBand="0" w:evenVBand="0" w:oddHBand="1" w:evenHBand="0" w:firstRowFirstColumn="0" w:firstRowLastColumn="0" w:lastRowFirstColumn="0" w:lastRowLastColumn="0"/>
            </w:pPr>
          </w:p>
        </w:tc>
        <w:tc>
          <w:tcPr>
            <w:tcW w:w="1680" w:type="dxa"/>
          </w:tcPr>
          <w:p w:rsidR="000C0526" w:rsidRDefault="000C0526" w:rsidP="00890373">
            <w:pPr>
              <w:cnfStyle w:val="000000100000" w:firstRow="0" w:lastRow="0" w:firstColumn="0" w:lastColumn="0" w:oddVBand="0" w:evenVBand="0" w:oddHBand="1" w:evenHBand="0" w:firstRowFirstColumn="0" w:firstRowLastColumn="0" w:lastRowFirstColumn="0" w:lastRowLastColumn="0"/>
            </w:pPr>
          </w:p>
        </w:tc>
        <w:tc>
          <w:tcPr>
            <w:tcW w:w="1680" w:type="dxa"/>
            <w:tcBorders>
              <w:right w:val="single" w:sz="4" w:space="0" w:color="auto"/>
            </w:tcBorders>
          </w:tcPr>
          <w:p w:rsidR="000C0526" w:rsidRDefault="000C0526" w:rsidP="00890373">
            <w:pPr>
              <w:cnfStyle w:val="000000100000" w:firstRow="0" w:lastRow="0" w:firstColumn="0" w:lastColumn="0" w:oddVBand="0" w:evenVBand="0" w:oddHBand="1" w:evenHBand="0" w:firstRowFirstColumn="0" w:firstRowLastColumn="0" w:lastRowFirstColumn="0" w:lastRowLastColumn="0"/>
            </w:pPr>
          </w:p>
        </w:tc>
      </w:tr>
      <w:tr w:rsidR="000C0526" w:rsidTr="000C0526">
        <w:tc>
          <w:tcPr>
            <w:cnfStyle w:val="001000000000" w:firstRow="0" w:lastRow="0" w:firstColumn="1" w:lastColumn="0" w:oddVBand="0" w:evenVBand="0" w:oddHBand="0" w:evenHBand="0" w:firstRowFirstColumn="0" w:firstRowLastColumn="0" w:lastRowFirstColumn="0" w:lastRowLastColumn="0"/>
            <w:tcW w:w="4518" w:type="dxa"/>
          </w:tcPr>
          <w:p w:rsidR="000C0526" w:rsidRPr="009A4B65" w:rsidRDefault="000C0526" w:rsidP="00890373">
            <w:r>
              <w:t>Alternative</w:t>
            </w:r>
          </w:p>
        </w:tc>
        <w:tc>
          <w:tcPr>
            <w:tcW w:w="1680" w:type="dxa"/>
          </w:tcPr>
          <w:p w:rsidR="000C0526" w:rsidRPr="000C0526" w:rsidRDefault="000C0526" w:rsidP="00890373">
            <w:pPr>
              <w:cnfStyle w:val="000000000000" w:firstRow="0" w:lastRow="0" w:firstColumn="0" w:lastColumn="0" w:oddVBand="0" w:evenVBand="0" w:oddHBand="0" w:evenHBand="0" w:firstRowFirstColumn="0" w:firstRowLastColumn="0" w:lastRowFirstColumn="0" w:lastRowLastColumn="0"/>
              <w:rPr>
                <w:b/>
              </w:rPr>
            </w:pPr>
            <w:r w:rsidRPr="000C0526">
              <w:rPr>
                <w:b/>
              </w:rPr>
              <w:t>Ideals</w:t>
            </w:r>
          </w:p>
        </w:tc>
        <w:tc>
          <w:tcPr>
            <w:tcW w:w="1680" w:type="dxa"/>
          </w:tcPr>
          <w:p w:rsidR="000C0526" w:rsidRPr="000C0526" w:rsidRDefault="000C0526" w:rsidP="00890373">
            <w:pPr>
              <w:cnfStyle w:val="000000000000" w:firstRow="0" w:lastRow="0" w:firstColumn="0" w:lastColumn="0" w:oddVBand="0" w:evenVBand="0" w:oddHBand="0" w:evenHBand="0" w:firstRowFirstColumn="0" w:firstRowLastColumn="0" w:lastRowFirstColumn="0" w:lastRowLastColumn="0"/>
              <w:rPr>
                <w:b/>
              </w:rPr>
            </w:pPr>
            <w:proofErr w:type="spellStart"/>
            <w:r w:rsidRPr="000C0526">
              <w:rPr>
                <w:b/>
              </w:rPr>
              <w:t>Normals</w:t>
            </w:r>
            <w:proofErr w:type="spellEnd"/>
          </w:p>
        </w:tc>
        <w:tc>
          <w:tcPr>
            <w:tcW w:w="1680" w:type="dxa"/>
          </w:tcPr>
          <w:p w:rsidR="000C0526" w:rsidRPr="000C0526" w:rsidRDefault="000C0526" w:rsidP="00890373">
            <w:pPr>
              <w:cnfStyle w:val="000000000000" w:firstRow="0" w:lastRow="0" w:firstColumn="0" w:lastColumn="0" w:oddVBand="0" w:evenVBand="0" w:oddHBand="0" w:evenHBand="0" w:firstRowFirstColumn="0" w:firstRowLastColumn="0" w:lastRowFirstColumn="0" w:lastRowLastColumn="0"/>
              <w:rPr>
                <w:b/>
              </w:rPr>
            </w:pPr>
            <w:r w:rsidRPr="000C0526">
              <w:rPr>
                <w:b/>
              </w:rPr>
              <w:t>Raw</w:t>
            </w:r>
          </w:p>
        </w:tc>
      </w:tr>
      <w:tr w:rsidR="00890373" w:rsidTr="007322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8" w:type="dxa"/>
            <w:tcBorders>
              <w:left w:val="single" w:sz="4" w:space="0" w:color="auto"/>
            </w:tcBorders>
          </w:tcPr>
          <w:p w:rsidR="000C0526" w:rsidRPr="000111F2" w:rsidRDefault="000C0526" w:rsidP="00890373">
            <w:pPr>
              <w:rPr>
                <w:b w:val="0"/>
              </w:rPr>
            </w:pPr>
            <w:r w:rsidRPr="000111F2">
              <w:rPr>
                <w:b w:val="0"/>
              </w:rPr>
              <w:t>Keep Current Schedule (4-Pre; 16-Regular)</w:t>
            </w:r>
          </w:p>
        </w:tc>
        <w:tc>
          <w:tcPr>
            <w:tcW w:w="1680" w:type="dxa"/>
          </w:tcPr>
          <w:p w:rsidR="000C0526" w:rsidRPr="009A4B65" w:rsidRDefault="000C0526" w:rsidP="00890373">
            <w:pPr>
              <w:cnfStyle w:val="000000100000" w:firstRow="0" w:lastRow="0" w:firstColumn="0" w:lastColumn="0" w:oddVBand="0" w:evenVBand="0" w:oddHBand="1" w:evenHBand="0" w:firstRowFirstColumn="0" w:firstRowLastColumn="0" w:lastRowFirstColumn="0" w:lastRowLastColumn="0"/>
            </w:pPr>
            <w:r w:rsidRPr="009A4B65">
              <w:t>0.485808</w:t>
            </w:r>
          </w:p>
        </w:tc>
        <w:tc>
          <w:tcPr>
            <w:tcW w:w="1680" w:type="dxa"/>
          </w:tcPr>
          <w:p w:rsidR="000C0526" w:rsidRPr="009A4B65" w:rsidRDefault="000C0526" w:rsidP="00890373">
            <w:pPr>
              <w:cnfStyle w:val="000000100000" w:firstRow="0" w:lastRow="0" w:firstColumn="0" w:lastColumn="0" w:oddVBand="0" w:evenVBand="0" w:oddHBand="1" w:evenHBand="0" w:firstRowFirstColumn="0" w:firstRowLastColumn="0" w:lastRowFirstColumn="0" w:lastRowLastColumn="0"/>
            </w:pPr>
            <w:r w:rsidRPr="009A4B65">
              <w:t>0.326966</w:t>
            </w:r>
          </w:p>
        </w:tc>
        <w:tc>
          <w:tcPr>
            <w:tcW w:w="1680" w:type="dxa"/>
            <w:tcBorders>
              <w:right w:val="single" w:sz="4" w:space="0" w:color="auto"/>
            </w:tcBorders>
          </w:tcPr>
          <w:p w:rsidR="000C0526" w:rsidRPr="009A4B65" w:rsidRDefault="000C0526" w:rsidP="00890373">
            <w:pPr>
              <w:cnfStyle w:val="000000100000" w:firstRow="0" w:lastRow="0" w:firstColumn="0" w:lastColumn="0" w:oddVBand="0" w:evenVBand="0" w:oddHBand="1" w:evenHBand="0" w:firstRowFirstColumn="0" w:firstRowLastColumn="0" w:lastRowFirstColumn="0" w:lastRowLastColumn="0"/>
            </w:pPr>
            <w:r w:rsidRPr="009A4B65">
              <w:t>0.274189</w:t>
            </w:r>
          </w:p>
        </w:tc>
      </w:tr>
      <w:tr w:rsidR="000C0526" w:rsidTr="000C0526">
        <w:tc>
          <w:tcPr>
            <w:cnfStyle w:val="001000000000" w:firstRow="0" w:lastRow="0" w:firstColumn="1" w:lastColumn="0" w:oddVBand="0" w:evenVBand="0" w:oddHBand="0" w:evenHBand="0" w:firstRowFirstColumn="0" w:firstRowLastColumn="0" w:lastRowFirstColumn="0" w:lastRowLastColumn="0"/>
            <w:tcW w:w="4518" w:type="dxa"/>
          </w:tcPr>
          <w:p w:rsidR="000C0526" w:rsidRPr="000111F2" w:rsidRDefault="000C0526" w:rsidP="00890373">
            <w:r w:rsidRPr="000111F2">
              <w:t>New Schedule (2-Pre; 18-Regular)</w:t>
            </w:r>
          </w:p>
        </w:tc>
        <w:tc>
          <w:tcPr>
            <w:tcW w:w="1680" w:type="dxa"/>
          </w:tcPr>
          <w:p w:rsidR="000C0526" w:rsidRPr="009A4B65" w:rsidRDefault="000C0526" w:rsidP="00890373">
            <w:pPr>
              <w:cnfStyle w:val="000000000000" w:firstRow="0" w:lastRow="0" w:firstColumn="0" w:lastColumn="0" w:oddVBand="0" w:evenVBand="0" w:oddHBand="0" w:evenHBand="0" w:firstRowFirstColumn="0" w:firstRowLastColumn="0" w:lastRowFirstColumn="0" w:lastRowLastColumn="0"/>
            </w:pPr>
            <w:r w:rsidRPr="009A4B65">
              <w:t>1.000000</w:t>
            </w:r>
          </w:p>
        </w:tc>
        <w:tc>
          <w:tcPr>
            <w:tcW w:w="1680" w:type="dxa"/>
          </w:tcPr>
          <w:p w:rsidR="000C0526" w:rsidRPr="000111F2" w:rsidRDefault="000C0526" w:rsidP="00890373">
            <w:pPr>
              <w:cnfStyle w:val="000000000000" w:firstRow="0" w:lastRow="0" w:firstColumn="0" w:lastColumn="0" w:oddVBand="0" w:evenVBand="0" w:oddHBand="0" w:evenHBand="0" w:firstRowFirstColumn="0" w:firstRowLastColumn="0" w:lastRowFirstColumn="0" w:lastRowLastColumn="0"/>
              <w:rPr>
                <w:b/>
              </w:rPr>
            </w:pPr>
            <w:r w:rsidRPr="000111F2">
              <w:rPr>
                <w:b/>
              </w:rPr>
              <w:t>0.673034</w:t>
            </w:r>
          </w:p>
        </w:tc>
        <w:tc>
          <w:tcPr>
            <w:tcW w:w="1680" w:type="dxa"/>
          </w:tcPr>
          <w:p w:rsidR="000C0526" w:rsidRPr="009A4B65" w:rsidRDefault="000C0526" w:rsidP="00890373">
            <w:pPr>
              <w:cnfStyle w:val="000000000000" w:firstRow="0" w:lastRow="0" w:firstColumn="0" w:lastColumn="0" w:oddVBand="0" w:evenVBand="0" w:oddHBand="0" w:evenHBand="0" w:firstRowFirstColumn="0" w:firstRowLastColumn="0" w:lastRowFirstColumn="0" w:lastRowLastColumn="0"/>
            </w:pPr>
            <w:r w:rsidRPr="009A4B65">
              <w:t>0.564397</w:t>
            </w:r>
          </w:p>
        </w:tc>
      </w:tr>
      <w:tr w:rsidR="00890373" w:rsidTr="007322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8" w:type="dxa"/>
            <w:tcBorders>
              <w:left w:val="single" w:sz="4" w:space="0" w:color="auto"/>
            </w:tcBorders>
          </w:tcPr>
          <w:p w:rsidR="000C0526" w:rsidRDefault="000C0526" w:rsidP="00890373"/>
        </w:tc>
        <w:tc>
          <w:tcPr>
            <w:tcW w:w="1680" w:type="dxa"/>
          </w:tcPr>
          <w:p w:rsidR="000C0526" w:rsidRDefault="000C0526" w:rsidP="00890373">
            <w:pPr>
              <w:cnfStyle w:val="000000100000" w:firstRow="0" w:lastRow="0" w:firstColumn="0" w:lastColumn="0" w:oddVBand="0" w:evenVBand="0" w:oddHBand="1" w:evenHBand="0" w:firstRowFirstColumn="0" w:firstRowLastColumn="0" w:lastRowFirstColumn="0" w:lastRowLastColumn="0"/>
            </w:pPr>
          </w:p>
        </w:tc>
        <w:tc>
          <w:tcPr>
            <w:tcW w:w="1680" w:type="dxa"/>
          </w:tcPr>
          <w:p w:rsidR="000C0526" w:rsidRDefault="000C0526" w:rsidP="00890373">
            <w:pPr>
              <w:cnfStyle w:val="000000100000" w:firstRow="0" w:lastRow="0" w:firstColumn="0" w:lastColumn="0" w:oddVBand="0" w:evenVBand="0" w:oddHBand="1" w:evenHBand="0" w:firstRowFirstColumn="0" w:firstRowLastColumn="0" w:lastRowFirstColumn="0" w:lastRowLastColumn="0"/>
            </w:pPr>
          </w:p>
        </w:tc>
        <w:tc>
          <w:tcPr>
            <w:tcW w:w="1680" w:type="dxa"/>
            <w:tcBorders>
              <w:right w:val="single" w:sz="4" w:space="0" w:color="auto"/>
            </w:tcBorders>
          </w:tcPr>
          <w:p w:rsidR="000C0526" w:rsidRDefault="000C0526" w:rsidP="00890373">
            <w:pPr>
              <w:cnfStyle w:val="000000100000" w:firstRow="0" w:lastRow="0" w:firstColumn="0" w:lastColumn="0" w:oddVBand="0" w:evenVBand="0" w:oddHBand="1" w:evenHBand="0" w:firstRowFirstColumn="0" w:firstRowLastColumn="0" w:lastRowFirstColumn="0" w:lastRowLastColumn="0"/>
            </w:pPr>
          </w:p>
        </w:tc>
      </w:tr>
      <w:tr w:rsidR="000C0526" w:rsidTr="000C0526">
        <w:tc>
          <w:tcPr>
            <w:cnfStyle w:val="001000000000" w:firstRow="0" w:lastRow="0" w:firstColumn="1" w:lastColumn="0" w:oddVBand="0" w:evenVBand="0" w:oddHBand="0" w:evenHBand="0" w:firstRowFirstColumn="0" w:firstRowLastColumn="0" w:lastRowFirstColumn="0" w:lastRowLastColumn="0"/>
            <w:tcW w:w="4518" w:type="dxa"/>
          </w:tcPr>
          <w:p w:rsidR="000C0526" w:rsidRDefault="000C0526" w:rsidP="00890373">
            <w:r>
              <w:t>Multiplicative Formula</w:t>
            </w:r>
          </w:p>
        </w:tc>
        <w:tc>
          <w:tcPr>
            <w:tcW w:w="1680" w:type="dxa"/>
          </w:tcPr>
          <w:p w:rsidR="000C0526" w:rsidRDefault="000C0526" w:rsidP="00890373">
            <w:pPr>
              <w:cnfStyle w:val="000000000000" w:firstRow="0" w:lastRow="0" w:firstColumn="0" w:lastColumn="0" w:oddVBand="0" w:evenVBand="0" w:oddHBand="0" w:evenHBand="0" w:firstRowFirstColumn="0" w:firstRowLastColumn="0" w:lastRowFirstColumn="0" w:lastRowLastColumn="0"/>
            </w:pPr>
          </w:p>
        </w:tc>
        <w:tc>
          <w:tcPr>
            <w:tcW w:w="1680" w:type="dxa"/>
          </w:tcPr>
          <w:p w:rsidR="000C0526" w:rsidRDefault="000C0526" w:rsidP="00890373">
            <w:pPr>
              <w:cnfStyle w:val="000000000000" w:firstRow="0" w:lastRow="0" w:firstColumn="0" w:lastColumn="0" w:oddVBand="0" w:evenVBand="0" w:oddHBand="0" w:evenHBand="0" w:firstRowFirstColumn="0" w:firstRowLastColumn="0" w:lastRowFirstColumn="0" w:lastRowLastColumn="0"/>
            </w:pPr>
          </w:p>
        </w:tc>
        <w:tc>
          <w:tcPr>
            <w:tcW w:w="1680" w:type="dxa"/>
          </w:tcPr>
          <w:p w:rsidR="000C0526" w:rsidRDefault="000C0526" w:rsidP="00890373">
            <w:pPr>
              <w:cnfStyle w:val="000000000000" w:firstRow="0" w:lastRow="0" w:firstColumn="0" w:lastColumn="0" w:oddVBand="0" w:evenVBand="0" w:oddHBand="0" w:evenHBand="0" w:firstRowFirstColumn="0" w:firstRowLastColumn="0" w:lastRowFirstColumn="0" w:lastRowLastColumn="0"/>
            </w:pPr>
          </w:p>
        </w:tc>
      </w:tr>
      <w:tr w:rsidR="00890373" w:rsidTr="007322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8" w:type="dxa"/>
            <w:tcBorders>
              <w:left w:val="single" w:sz="4" w:space="0" w:color="auto"/>
            </w:tcBorders>
          </w:tcPr>
          <w:p w:rsidR="000C0526" w:rsidRPr="009A4B65" w:rsidRDefault="000C0526" w:rsidP="00890373">
            <w:r>
              <w:t>Alternative</w:t>
            </w:r>
          </w:p>
        </w:tc>
        <w:tc>
          <w:tcPr>
            <w:tcW w:w="1680" w:type="dxa"/>
          </w:tcPr>
          <w:p w:rsidR="000C0526" w:rsidRPr="000C0526" w:rsidRDefault="000C0526" w:rsidP="00890373">
            <w:pPr>
              <w:cnfStyle w:val="000000100000" w:firstRow="0" w:lastRow="0" w:firstColumn="0" w:lastColumn="0" w:oddVBand="0" w:evenVBand="0" w:oddHBand="1" w:evenHBand="0" w:firstRowFirstColumn="0" w:firstRowLastColumn="0" w:lastRowFirstColumn="0" w:lastRowLastColumn="0"/>
              <w:rPr>
                <w:b/>
              </w:rPr>
            </w:pPr>
            <w:r w:rsidRPr="000C0526">
              <w:rPr>
                <w:b/>
              </w:rPr>
              <w:t>Ideals</w:t>
            </w:r>
          </w:p>
        </w:tc>
        <w:tc>
          <w:tcPr>
            <w:tcW w:w="1680" w:type="dxa"/>
          </w:tcPr>
          <w:p w:rsidR="000C0526" w:rsidRPr="000C0526" w:rsidRDefault="000C0526" w:rsidP="00890373">
            <w:pPr>
              <w:cnfStyle w:val="000000100000" w:firstRow="0" w:lastRow="0" w:firstColumn="0" w:lastColumn="0" w:oddVBand="0" w:evenVBand="0" w:oddHBand="1" w:evenHBand="0" w:firstRowFirstColumn="0" w:firstRowLastColumn="0" w:lastRowFirstColumn="0" w:lastRowLastColumn="0"/>
              <w:rPr>
                <w:b/>
              </w:rPr>
            </w:pPr>
            <w:proofErr w:type="spellStart"/>
            <w:r w:rsidRPr="000C0526">
              <w:rPr>
                <w:b/>
              </w:rPr>
              <w:t>Normals</w:t>
            </w:r>
            <w:proofErr w:type="spellEnd"/>
          </w:p>
        </w:tc>
        <w:tc>
          <w:tcPr>
            <w:tcW w:w="1680" w:type="dxa"/>
            <w:tcBorders>
              <w:right w:val="single" w:sz="4" w:space="0" w:color="auto"/>
            </w:tcBorders>
          </w:tcPr>
          <w:p w:rsidR="000C0526" w:rsidRPr="000C0526" w:rsidRDefault="000C0526" w:rsidP="00890373">
            <w:pPr>
              <w:cnfStyle w:val="000000100000" w:firstRow="0" w:lastRow="0" w:firstColumn="0" w:lastColumn="0" w:oddVBand="0" w:evenVBand="0" w:oddHBand="1" w:evenHBand="0" w:firstRowFirstColumn="0" w:firstRowLastColumn="0" w:lastRowFirstColumn="0" w:lastRowLastColumn="0"/>
              <w:rPr>
                <w:b/>
              </w:rPr>
            </w:pPr>
            <w:r w:rsidRPr="000C0526">
              <w:rPr>
                <w:b/>
              </w:rPr>
              <w:t>Raw</w:t>
            </w:r>
          </w:p>
        </w:tc>
      </w:tr>
      <w:tr w:rsidR="000C0526" w:rsidTr="000C0526">
        <w:tc>
          <w:tcPr>
            <w:cnfStyle w:val="001000000000" w:firstRow="0" w:lastRow="0" w:firstColumn="1" w:lastColumn="0" w:oddVBand="0" w:evenVBand="0" w:oddHBand="0" w:evenHBand="0" w:firstRowFirstColumn="0" w:firstRowLastColumn="0" w:lastRowFirstColumn="0" w:lastRowLastColumn="0"/>
            <w:tcW w:w="4518" w:type="dxa"/>
          </w:tcPr>
          <w:p w:rsidR="000C0526" w:rsidRPr="009A4B65" w:rsidRDefault="000C0526" w:rsidP="00890373">
            <w:r w:rsidRPr="009A4B65">
              <w:t>Keep Current Schedule (4-Pre; 16-Regular)</w:t>
            </w:r>
          </w:p>
        </w:tc>
        <w:tc>
          <w:tcPr>
            <w:tcW w:w="1680" w:type="dxa"/>
          </w:tcPr>
          <w:p w:rsidR="000C0526" w:rsidRPr="00AF292D" w:rsidRDefault="000C0526" w:rsidP="00890373">
            <w:pPr>
              <w:cnfStyle w:val="000000000000" w:firstRow="0" w:lastRow="0" w:firstColumn="0" w:lastColumn="0" w:oddVBand="0" w:evenVBand="0" w:oddHBand="0" w:evenHBand="0" w:firstRowFirstColumn="0" w:firstRowLastColumn="0" w:lastRowFirstColumn="0" w:lastRowLastColumn="0"/>
            </w:pPr>
            <w:r w:rsidRPr="00AF292D">
              <w:t>1.000000</w:t>
            </w:r>
          </w:p>
        </w:tc>
        <w:tc>
          <w:tcPr>
            <w:tcW w:w="1680" w:type="dxa"/>
          </w:tcPr>
          <w:p w:rsidR="000C0526" w:rsidRPr="000111F2" w:rsidRDefault="000C0526" w:rsidP="00890373">
            <w:pPr>
              <w:cnfStyle w:val="000000000000" w:firstRow="0" w:lastRow="0" w:firstColumn="0" w:lastColumn="0" w:oddVBand="0" w:evenVBand="0" w:oddHBand="0" w:evenHBand="0" w:firstRowFirstColumn="0" w:firstRowLastColumn="0" w:lastRowFirstColumn="0" w:lastRowLastColumn="0"/>
              <w:rPr>
                <w:b/>
              </w:rPr>
            </w:pPr>
            <w:r w:rsidRPr="000111F2">
              <w:rPr>
                <w:b/>
              </w:rPr>
              <w:t>0.681499</w:t>
            </w:r>
          </w:p>
        </w:tc>
        <w:tc>
          <w:tcPr>
            <w:tcW w:w="1680" w:type="dxa"/>
          </w:tcPr>
          <w:p w:rsidR="000C0526" w:rsidRPr="00AF292D" w:rsidRDefault="000C0526" w:rsidP="00890373">
            <w:pPr>
              <w:cnfStyle w:val="000000000000" w:firstRow="0" w:lastRow="0" w:firstColumn="0" w:lastColumn="0" w:oddVBand="0" w:evenVBand="0" w:oddHBand="0" w:evenHBand="0" w:firstRowFirstColumn="0" w:firstRowLastColumn="0" w:lastRowFirstColumn="0" w:lastRowLastColumn="0"/>
            </w:pPr>
            <w:r w:rsidRPr="00AF292D">
              <w:t>2.177944</w:t>
            </w:r>
          </w:p>
        </w:tc>
      </w:tr>
      <w:tr w:rsidR="000111F2" w:rsidTr="000111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8" w:type="dxa"/>
            <w:tcBorders>
              <w:left w:val="none" w:sz="0" w:space="0" w:color="auto"/>
              <w:right w:val="none" w:sz="0" w:space="0" w:color="auto"/>
            </w:tcBorders>
          </w:tcPr>
          <w:p w:rsidR="000C0526" w:rsidRPr="000C0526" w:rsidRDefault="000C0526" w:rsidP="00890373">
            <w:pPr>
              <w:rPr>
                <w:b w:val="0"/>
              </w:rPr>
            </w:pPr>
            <w:r w:rsidRPr="000C0526">
              <w:rPr>
                <w:b w:val="0"/>
              </w:rPr>
              <w:t>New Schedule (2-Pre; 18-Regular)</w:t>
            </w:r>
          </w:p>
        </w:tc>
        <w:tc>
          <w:tcPr>
            <w:tcW w:w="1680" w:type="dxa"/>
            <w:tcBorders>
              <w:left w:val="none" w:sz="0" w:space="0" w:color="auto"/>
              <w:right w:val="none" w:sz="0" w:space="0" w:color="auto"/>
            </w:tcBorders>
          </w:tcPr>
          <w:p w:rsidR="000C0526" w:rsidRPr="00AF292D" w:rsidRDefault="000C0526" w:rsidP="00890373">
            <w:pPr>
              <w:cnfStyle w:val="000000100000" w:firstRow="0" w:lastRow="0" w:firstColumn="0" w:lastColumn="0" w:oddVBand="0" w:evenVBand="0" w:oddHBand="1" w:evenHBand="0" w:firstRowFirstColumn="0" w:firstRowLastColumn="0" w:lastRowFirstColumn="0" w:lastRowLastColumn="0"/>
            </w:pPr>
            <w:r w:rsidRPr="00AF292D">
              <w:t>0.467353</w:t>
            </w:r>
          </w:p>
        </w:tc>
        <w:tc>
          <w:tcPr>
            <w:tcW w:w="1680" w:type="dxa"/>
            <w:tcBorders>
              <w:left w:val="none" w:sz="0" w:space="0" w:color="auto"/>
              <w:right w:val="none" w:sz="0" w:space="0" w:color="auto"/>
            </w:tcBorders>
          </w:tcPr>
          <w:p w:rsidR="000C0526" w:rsidRPr="00AF292D" w:rsidRDefault="000C0526" w:rsidP="00890373">
            <w:pPr>
              <w:cnfStyle w:val="000000100000" w:firstRow="0" w:lastRow="0" w:firstColumn="0" w:lastColumn="0" w:oddVBand="0" w:evenVBand="0" w:oddHBand="1" w:evenHBand="0" w:firstRowFirstColumn="0" w:firstRowLastColumn="0" w:lastRowFirstColumn="0" w:lastRowLastColumn="0"/>
            </w:pPr>
            <w:r w:rsidRPr="00AF292D">
              <w:t>0.318501</w:t>
            </w:r>
          </w:p>
        </w:tc>
        <w:tc>
          <w:tcPr>
            <w:tcW w:w="1680" w:type="dxa"/>
            <w:tcBorders>
              <w:left w:val="none" w:sz="0" w:space="0" w:color="auto"/>
              <w:right w:val="none" w:sz="0" w:space="0" w:color="auto"/>
            </w:tcBorders>
          </w:tcPr>
          <w:p w:rsidR="000C0526" w:rsidRPr="00AF292D" w:rsidRDefault="000C0526" w:rsidP="00890373">
            <w:pPr>
              <w:cnfStyle w:val="000000100000" w:firstRow="0" w:lastRow="0" w:firstColumn="0" w:lastColumn="0" w:oddVBand="0" w:evenVBand="0" w:oddHBand="1" w:evenHBand="0" w:firstRowFirstColumn="0" w:firstRowLastColumn="0" w:lastRowFirstColumn="0" w:lastRowLastColumn="0"/>
            </w:pPr>
            <w:r w:rsidRPr="00AF292D">
              <w:t>1.017868</w:t>
            </w:r>
          </w:p>
        </w:tc>
      </w:tr>
    </w:tbl>
    <w:p w:rsidR="00890373" w:rsidRDefault="00890373" w:rsidP="00890373">
      <w:pPr>
        <w:spacing w:line="480" w:lineRule="auto"/>
      </w:pPr>
    </w:p>
    <w:p w:rsidR="00890373" w:rsidRDefault="00890373">
      <w:r>
        <w:br w:type="page"/>
      </w:r>
    </w:p>
    <w:p w:rsidR="001177EB" w:rsidRDefault="001177EB" w:rsidP="00890373">
      <w:pPr>
        <w:pStyle w:val="Heading1"/>
      </w:pPr>
      <w:bookmarkStart w:id="13" w:name="_Toc306536825"/>
      <w:r>
        <w:lastRenderedPageBreak/>
        <w:t>Sensitivity Analysis</w:t>
      </w:r>
      <w:bookmarkEnd w:id="13"/>
    </w:p>
    <w:p w:rsidR="001177EB" w:rsidRDefault="001177EB" w:rsidP="00890373">
      <w:pPr>
        <w:spacing w:line="480" w:lineRule="auto"/>
      </w:pPr>
      <w:r>
        <w:tab/>
        <w:t xml:space="preserve">Sensitivity Analysis was performed on the result based upon the additive formula.  When comparing the alternatives under the Benefits subnet, the New Schedule is always preferred, and increases in preference as the current schedule decreases.  </w:t>
      </w:r>
      <w:r w:rsidR="00F73F28">
        <w:t xml:space="preserve">The New schedule is also always preferable when performing sensitivity for Opportunities.  At a weight of .2 the two reach a steady state, but with the new schedule still being the preferred.  </w:t>
      </w:r>
    </w:p>
    <w:p w:rsidR="006A73C7" w:rsidRDefault="006A73C7" w:rsidP="00890373">
      <w:pPr>
        <w:spacing w:line="480" w:lineRule="auto"/>
      </w:pPr>
      <w:r>
        <w:rPr>
          <w:noProof/>
        </w:rPr>
        <w:drawing>
          <wp:inline distT="0" distB="0" distL="0" distR="0">
            <wp:extent cx="2651760" cy="3787356"/>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2651760" cy="3787356"/>
                    </a:xfrm>
                    <a:prstGeom prst="rect">
                      <a:avLst/>
                    </a:prstGeom>
                  </pic:spPr>
                </pic:pic>
              </a:graphicData>
            </a:graphic>
          </wp:inline>
        </w:drawing>
      </w:r>
      <w:r w:rsidR="00C56CC5">
        <w:t xml:space="preserve">                   </w:t>
      </w:r>
      <w:r w:rsidR="00C56CC5">
        <w:rPr>
          <w:noProof/>
        </w:rPr>
        <w:drawing>
          <wp:inline distT="0" distB="0" distL="0" distR="0">
            <wp:extent cx="2636101" cy="37947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2636101" cy="3794760"/>
                    </a:xfrm>
                    <a:prstGeom prst="rect">
                      <a:avLst/>
                    </a:prstGeom>
                  </pic:spPr>
                </pic:pic>
              </a:graphicData>
            </a:graphic>
          </wp:inline>
        </w:drawing>
      </w:r>
    </w:p>
    <w:p w:rsidR="005F4253" w:rsidRDefault="00C56CC5" w:rsidP="00890373">
      <w:pPr>
        <w:spacing w:line="480" w:lineRule="auto"/>
      </w:pPr>
      <w:r>
        <w:tab/>
        <w:t xml:space="preserve">Sensitivity has a different trend from the perspective of costs and risks.  For Cost, the new schedule is only preferable up until a weight of approximately .5.  After this mark, the current schedule is preferred at an increased weight.  </w:t>
      </w:r>
      <w:r w:rsidR="001359FF">
        <w:t xml:space="preserve">Similarly for Risks, the new schedule is preferable up until a weight of 1.5 when the current schedule becomes preferable.  This result also helps explain the difference in conclusions between the multiplicative and additive formulas.  </w:t>
      </w:r>
    </w:p>
    <w:p w:rsidR="001359FF" w:rsidRDefault="001359FF" w:rsidP="00890373">
      <w:pPr>
        <w:tabs>
          <w:tab w:val="left" w:pos="5040"/>
        </w:tabs>
        <w:spacing w:line="480" w:lineRule="auto"/>
      </w:pPr>
      <w:r>
        <w:rPr>
          <w:noProof/>
        </w:rPr>
        <w:lastRenderedPageBreak/>
        <w:drawing>
          <wp:inline distT="0" distB="0" distL="0" distR="0">
            <wp:extent cx="2626759" cy="3749040"/>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2626759" cy="3749040"/>
                    </a:xfrm>
                    <a:prstGeom prst="rect">
                      <a:avLst/>
                    </a:prstGeom>
                  </pic:spPr>
                </pic:pic>
              </a:graphicData>
            </a:graphic>
          </wp:inline>
        </w:drawing>
      </w:r>
      <w:r>
        <w:t xml:space="preserve">                   </w:t>
      </w:r>
      <w:r>
        <w:rPr>
          <w:noProof/>
        </w:rPr>
        <w:drawing>
          <wp:inline distT="0" distB="0" distL="0" distR="0" wp14:anchorId="1636A43C" wp14:editId="49475934">
            <wp:extent cx="2610942" cy="37490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2610942" cy="3749040"/>
                    </a:xfrm>
                    <a:prstGeom prst="rect">
                      <a:avLst/>
                    </a:prstGeom>
                  </pic:spPr>
                </pic:pic>
              </a:graphicData>
            </a:graphic>
          </wp:inline>
        </w:drawing>
      </w:r>
    </w:p>
    <w:p w:rsidR="00F96CBC" w:rsidRDefault="00F96CBC" w:rsidP="00F96CBC">
      <w:pPr>
        <w:pStyle w:val="Heading1"/>
      </w:pPr>
      <w:bookmarkStart w:id="14" w:name="_Toc306536826"/>
      <w:r>
        <w:t>Conclusion</w:t>
      </w:r>
      <w:bookmarkEnd w:id="14"/>
    </w:p>
    <w:p w:rsidR="00F96CBC" w:rsidRDefault="00F96CBC" w:rsidP="00F96CBC">
      <w:pPr>
        <w:tabs>
          <w:tab w:val="left" w:pos="720"/>
          <w:tab w:val="left" w:pos="5040"/>
        </w:tabs>
        <w:spacing w:line="480" w:lineRule="auto"/>
      </w:pPr>
      <w:r>
        <w:tab/>
        <w:t>Our model concludes that the NFL will fulfill its strategic objectives in the long-term by updating the current schedule to include 2 pre-season games followed by 18 regular season games.  With the current weights of our model the additional costs and risks of the new schedule outweigh the benefits and opportunities with respect to achieving the strategic objectives in the short-term.  Interestingly, in the final collective bargaini</w:t>
      </w:r>
      <w:r w:rsidR="003B3BA3">
        <w:t xml:space="preserve">ng agreement it was agreed </w:t>
      </w:r>
      <w:r>
        <w:t xml:space="preserve">to maintain the current 16 game format for the next ten years.   </w:t>
      </w:r>
    </w:p>
    <w:p w:rsidR="00684ED5" w:rsidRDefault="00684ED5" w:rsidP="00F96CBC">
      <w:pPr>
        <w:pStyle w:val="Heading1"/>
        <w:rPr>
          <w:b w:val="0"/>
          <w:bCs w:val="0"/>
        </w:rPr>
      </w:pPr>
    </w:p>
    <w:sectPr w:rsidR="00684ED5" w:rsidSect="00732225">
      <w:footerReference w:type="default" r:id="rId1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F80" w:rsidRDefault="00766F80" w:rsidP="00732225">
      <w:pPr>
        <w:spacing w:after="0" w:line="240" w:lineRule="auto"/>
      </w:pPr>
      <w:r>
        <w:separator/>
      </w:r>
    </w:p>
  </w:endnote>
  <w:endnote w:type="continuationSeparator" w:id="0">
    <w:p w:rsidR="00766F80" w:rsidRDefault="00766F80" w:rsidP="00732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0474"/>
      <w:docPartObj>
        <w:docPartGallery w:val="Page Numbers (Bottom of Page)"/>
        <w:docPartUnique/>
      </w:docPartObj>
    </w:sdtPr>
    <w:sdtEndPr>
      <w:rPr>
        <w:color w:val="7F7F7F" w:themeColor="background1" w:themeShade="7F"/>
        <w:spacing w:val="60"/>
      </w:rPr>
    </w:sdtEndPr>
    <w:sdtContent>
      <w:p w:rsidR="00F96CBC" w:rsidRDefault="000A3780">
        <w:pPr>
          <w:pStyle w:val="Footer"/>
          <w:pBdr>
            <w:top w:val="single" w:sz="4" w:space="1" w:color="D9D9D9" w:themeColor="background1" w:themeShade="D9"/>
          </w:pBdr>
          <w:rPr>
            <w:b/>
          </w:rPr>
        </w:pPr>
        <w:r>
          <w:fldChar w:fldCharType="begin"/>
        </w:r>
        <w:r>
          <w:instrText xml:space="preserve"> PAGE   \* MERGEFORMAT </w:instrText>
        </w:r>
        <w:r>
          <w:fldChar w:fldCharType="separate"/>
        </w:r>
        <w:r w:rsidRPr="000A3780">
          <w:rPr>
            <w:b/>
            <w:noProof/>
          </w:rPr>
          <w:t>5</w:t>
        </w:r>
        <w:r>
          <w:rPr>
            <w:b/>
            <w:noProof/>
          </w:rPr>
          <w:fldChar w:fldCharType="end"/>
        </w:r>
        <w:r w:rsidR="00F96CBC">
          <w:rPr>
            <w:b/>
          </w:rPr>
          <w:t xml:space="preserve"> | </w:t>
        </w:r>
        <w:r w:rsidR="00F96CBC">
          <w:rPr>
            <w:color w:val="7F7F7F" w:themeColor="background1" w:themeShade="7F"/>
            <w:spacing w:val="60"/>
          </w:rPr>
          <w:t>Page</w:t>
        </w:r>
      </w:p>
    </w:sdtContent>
  </w:sdt>
  <w:p w:rsidR="00732225" w:rsidRDefault="007322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F80" w:rsidRDefault="00766F80" w:rsidP="00732225">
      <w:pPr>
        <w:spacing w:after="0" w:line="240" w:lineRule="auto"/>
      </w:pPr>
      <w:r>
        <w:separator/>
      </w:r>
    </w:p>
  </w:footnote>
  <w:footnote w:type="continuationSeparator" w:id="0">
    <w:p w:rsidR="00766F80" w:rsidRDefault="00766F80" w:rsidP="007322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C5B"/>
    <w:rsid w:val="0000072C"/>
    <w:rsid w:val="00005FF0"/>
    <w:rsid w:val="000111F2"/>
    <w:rsid w:val="00034C4B"/>
    <w:rsid w:val="000A3780"/>
    <w:rsid w:val="000C0526"/>
    <w:rsid w:val="000C2531"/>
    <w:rsid w:val="000F3921"/>
    <w:rsid w:val="001177EB"/>
    <w:rsid w:val="001359FF"/>
    <w:rsid w:val="0014781A"/>
    <w:rsid w:val="00180AE4"/>
    <w:rsid w:val="001A5CC9"/>
    <w:rsid w:val="001D35D1"/>
    <w:rsid w:val="001F5C0E"/>
    <w:rsid w:val="00207CE0"/>
    <w:rsid w:val="00217B3E"/>
    <w:rsid w:val="00226FA9"/>
    <w:rsid w:val="00324A0E"/>
    <w:rsid w:val="00333807"/>
    <w:rsid w:val="00341280"/>
    <w:rsid w:val="003948F3"/>
    <w:rsid w:val="003B3BA3"/>
    <w:rsid w:val="003F5DCF"/>
    <w:rsid w:val="00442DE9"/>
    <w:rsid w:val="004C4493"/>
    <w:rsid w:val="004D2C5B"/>
    <w:rsid w:val="004D7C1B"/>
    <w:rsid w:val="00525F1C"/>
    <w:rsid w:val="005763CC"/>
    <w:rsid w:val="005B340E"/>
    <w:rsid w:val="005C1E9A"/>
    <w:rsid w:val="005E51FC"/>
    <w:rsid w:val="005F4253"/>
    <w:rsid w:val="00621675"/>
    <w:rsid w:val="00632CE8"/>
    <w:rsid w:val="00651BA2"/>
    <w:rsid w:val="00684ED5"/>
    <w:rsid w:val="006A73C7"/>
    <w:rsid w:val="006D6786"/>
    <w:rsid w:val="006F19EA"/>
    <w:rsid w:val="00703CAC"/>
    <w:rsid w:val="00717248"/>
    <w:rsid w:val="00732225"/>
    <w:rsid w:val="00745823"/>
    <w:rsid w:val="0075093C"/>
    <w:rsid w:val="00766F80"/>
    <w:rsid w:val="00770193"/>
    <w:rsid w:val="00770CAE"/>
    <w:rsid w:val="007877F0"/>
    <w:rsid w:val="007954F3"/>
    <w:rsid w:val="007E0356"/>
    <w:rsid w:val="00813F96"/>
    <w:rsid w:val="00837079"/>
    <w:rsid w:val="00856506"/>
    <w:rsid w:val="00890373"/>
    <w:rsid w:val="008A0476"/>
    <w:rsid w:val="009149DC"/>
    <w:rsid w:val="0093632E"/>
    <w:rsid w:val="009D5E1C"/>
    <w:rsid w:val="00A1532B"/>
    <w:rsid w:val="00A5436B"/>
    <w:rsid w:val="00A55073"/>
    <w:rsid w:val="00AB6B75"/>
    <w:rsid w:val="00AD069B"/>
    <w:rsid w:val="00BC79C3"/>
    <w:rsid w:val="00BE0C95"/>
    <w:rsid w:val="00C238BE"/>
    <w:rsid w:val="00C56CC5"/>
    <w:rsid w:val="00CE20EA"/>
    <w:rsid w:val="00CE5A54"/>
    <w:rsid w:val="00CF3E55"/>
    <w:rsid w:val="00CF665C"/>
    <w:rsid w:val="00D039DE"/>
    <w:rsid w:val="00D0631C"/>
    <w:rsid w:val="00D87DAF"/>
    <w:rsid w:val="00DC4D31"/>
    <w:rsid w:val="00DF2312"/>
    <w:rsid w:val="00E17B11"/>
    <w:rsid w:val="00E17DA3"/>
    <w:rsid w:val="00E43E89"/>
    <w:rsid w:val="00ED2F68"/>
    <w:rsid w:val="00EF33CA"/>
    <w:rsid w:val="00F02D31"/>
    <w:rsid w:val="00F0394E"/>
    <w:rsid w:val="00F111E3"/>
    <w:rsid w:val="00F67ABC"/>
    <w:rsid w:val="00F73EF8"/>
    <w:rsid w:val="00F73F28"/>
    <w:rsid w:val="00F7780D"/>
    <w:rsid w:val="00F855B6"/>
    <w:rsid w:val="00F96CBC"/>
    <w:rsid w:val="00FA766C"/>
    <w:rsid w:val="00FC7FB7"/>
    <w:rsid w:val="00FE1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903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9037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48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3">
    <w:name w:val="Light List Accent 3"/>
    <w:basedOn w:val="TableNormal"/>
    <w:uiPriority w:val="61"/>
    <w:rsid w:val="003948F3"/>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Grid1-Accent3">
    <w:name w:val="Medium Grid 1 Accent 3"/>
    <w:basedOn w:val="TableNormal"/>
    <w:uiPriority w:val="67"/>
    <w:rsid w:val="003948F3"/>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1">
    <w:name w:val="Medium Grid 1 Accent 1"/>
    <w:basedOn w:val="TableNormal"/>
    <w:uiPriority w:val="67"/>
    <w:rsid w:val="003948F3"/>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7E0356"/>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4">
    <w:name w:val="Medium Grid 1 Accent 4"/>
    <w:basedOn w:val="TableNormal"/>
    <w:uiPriority w:val="67"/>
    <w:rsid w:val="007E0356"/>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ghtShading">
    <w:name w:val="Light Shading"/>
    <w:basedOn w:val="TableNormal"/>
    <w:uiPriority w:val="60"/>
    <w:rsid w:val="000C052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0F3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921"/>
    <w:rPr>
      <w:rFonts w:ascii="Tahoma" w:hAnsi="Tahoma" w:cs="Tahoma"/>
      <w:sz w:val="16"/>
      <w:szCs w:val="16"/>
    </w:rPr>
  </w:style>
  <w:style w:type="paragraph" w:styleId="NoSpacing">
    <w:name w:val="No Spacing"/>
    <w:link w:val="NoSpacingChar"/>
    <w:uiPriority w:val="1"/>
    <w:qFormat/>
    <w:rsid w:val="00890373"/>
    <w:pPr>
      <w:spacing w:after="0" w:line="240" w:lineRule="auto"/>
    </w:pPr>
    <w:rPr>
      <w:lang w:eastAsia="ja-JP"/>
    </w:rPr>
  </w:style>
  <w:style w:type="character" w:customStyle="1" w:styleId="NoSpacingChar">
    <w:name w:val="No Spacing Char"/>
    <w:basedOn w:val="DefaultParagraphFont"/>
    <w:link w:val="NoSpacing"/>
    <w:uiPriority w:val="1"/>
    <w:rsid w:val="00890373"/>
    <w:rPr>
      <w:lang w:eastAsia="ja-JP"/>
    </w:rPr>
  </w:style>
  <w:style w:type="character" w:customStyle="1" w:styleId="Heading1Char">
    <w:name w:val="Heading 1 Char"/>
    <w:basedOn w:val="DefaultParagraphFont"/>
    <w:link w:val="Heading1"/>
    <w:uiPriority w:val="9"/>
    <w:rsid w:val="0089037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90373"/>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684ED5"/>
    <w:pPr>
      <w:outlineLvl w:val="9"/>
    </w:pPr>
    <w:rPr>
      <w:lang w:eastAsia="ja-JP"/>
    </w:rPr>
  </w:style>
  <w:style w:type="paragraph" w:styleId="TOC1">
    <w:name w:val="toc 1"/>
    <w:basedOn w:val="Normal"/>
    <w:next w:val="Normal"/>
    <w:autoRedefine/>
    <w:uiPriority w:val="39"/>
    <w:unhideWhenUsed/>
    <w:rsid w:val="00684ED5"/>
    <w:pPr>
      <w:spacing w:after="100"/>
    </w:pPr>
  </w:style>
  <w:style w:type="paragraph" w:styleId="TOC2">
    <w:name w:val="toc 2"/>
    <w:basedOn w:val="Normal"/>
    <w:next w:val="Normal"/>
    <w:autoRedefine/>
    <w:uiPriority w:val="39"/>
    <w:unhideWhenUsed/>
    <w:rsid w:val="00684ED5"/>
    <w:pPr>
      <w:spacing w:after="100"/>
      <w:ind w:left="220"/>
    </w:pPr>
  </w:style>
  <w:style w:type="character" w:styleId="Hyperlink">
    <w:name w:val="Hyperlink"/>
    <w:basedOn w:val="DefaultParagraphFont"/>
    <w:uiPriority w:val="99"/>
    <w:unhideWhenUsed/>
    <w:rsid w:val="00684ED5"/>
    <w:rPr>
      <w:color w:val="0000FF" w:themeColor="hyperlink"/>
      <w:u w:val="single"/>
    </w:rPr>
  </w:style>
  <w:style w:type="paragraph" w:styleId="Subtitle">
    <w:name w:val="Subtitle"/>
    <w:basedOn w:val="Normal"/>
    <w:next w:val="Normal"/>
    <w:link w:val="SubtitleChar"/>
    <w:uiPriority w:val="11"/>
    <w:qFormat/>
    <w:rsid w:val="006D67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D6786"/>
    <w:rPr>
      <w:rFonts w:asciiTheme="majorHAnsi" w:eastAsiaTheme="majorEastAsia" w:hAnsiTheme="majorHAnsi" w:cstheme="majorBidi"/>
      <w:i/>
      <w:iCs/>
      <w:color w:val="4F81BD" w:themeColor="accent1"/>
      <w:spacing w:val="15"/>
      <w:sz w:val="24"/>
      <w:szCs w:val="24"/>
    </w:rPr>
  </w:style>
  <w:style w:type="table" w:styleId="MediumGrid1-Accent6">
    <w:name w:val="Medium Grid 1 Accent 6"/>
    <w:basedOn w:val="TableNormal"/>
    <w:uiPriority w:val="67"/>
    <w:rsid w:val="00341280"/>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Header">
    <w:name w:val="header"/>
    <w:basedOn w:val="Normal"/>
    <w:link w:val="HeaderChar"/>
    <w:uiPriority w:val="99"/>
    <w:semiHidden/>
    <w:unhideWhenUsed/>
    <w:rsid w:val="007322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2225"/>
  </w:style>
  <w:style w:type="paragraph" w:styleId="Footer">
    <w:name w:val="footer"/>
    <w:basedOn w:val="Normal"/>
    <w:link w:val="FooterChar"/>
    <w:uiPriority w:val="99"/>
    <w:unhideWhenUsed/>
    <w:rsid w:val="00732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2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903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9037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48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3">
    <w:name w:val="Light List Accent 3"/>
    <w:basedOn w:val="TableNormal"/>
    <w:uiPriority w:val="61"/>
    <w:rsid w:val="003948F3"/>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Grid1-Accent3">
    <w:name w:val="Medium Grid 1 Accent 3"/>
    <w:basedOn w:val="TableNormal"/>
    <w:uiPriority w:val="67"/>
    <w:rsid w:val="003948F3"/>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1">
    <w:name w:val="Medium Grid 1 Accent 1"/>
    <w:basedOn w:val="TableNormal"/>
    <w:uiPriority w:val="67"/>
    <w:rsid w:val="003948F3"/>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7E0356"/>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4">
    <w:name w:val="Medium Grid 1 Accent 4"/>
    <w:basedOn w:val="TableNormal"/>
    <w:uiPriority w:val="67"/>
    <w:rsid w:val="007E0356"/>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ghtShading">
    <w:name w:val="Light Shading"/>
    <w:basedOn w:val="TableNormal"/>
    <w:uiPriority w:val="60"/>
    <w:rsid w:val="000C052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0F3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921"/>
    <w:rPr>
      <w:rFonts w:ascii="Tahoma" w:hAnsi="Tahoma" w:cs="Tahoma"/>
      <w:sz w:val="16"/>
      <w:szCs w:val="16"/>
    </w:rPr>
  </w:style>
  <w:style w:type="paragraph" w:styleId="NoSpacing">
    <w:name w:val="No Spacing"/>
    <w:link w:val="NoSpacingChar"/>
    <w:uiPriority w:val="1"/>
    <w:qFormat/>
    <w:rsid w:val="00890373"/>
    <w:pPr>
      <w:spacing w:after="0" w:line="240" w:lineRule="auto"/>
    </w:pPr>
    <w:rPr>
      <w:lang w:eastAsia="ja-JP"/>
    </w:rPr>
  </w:style>
  <w:style w:type="character" w:customStyle="1" w:styleId="NoSpacingChar">
    <w:name w:val="No Spacing Char"/>
    <w:basedOn w:val="DefaultParagraphFont"/>
    <w:link w:val="NoSpacing"/>
    <w:uiPriority w:val="1"/>
    <w:rsid w:val="00890373"/>
    <w:rPr>
      <w:lang w:eastAsia="ja-JP"/>
    </w:rPr>
  </w:style>
  <w:style w:type="character" w:customStyle="1" w:styleId="Heading1Char">
    <w:name w:val="Heading 1 Char"/>
    <w:basedOn w:val="DefaultParagraphFont"/>
    <w:link w:val="Heading1"/>
    <w:uiPriority w:val="9"/>
    <w:rsid w:val="0089037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90373"/>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684ED5"/>
    <w:pPr>
      <w:outlineLvl w:val="9"/>
    </w:pPr>
    <w:rPr>
      <w:lang w:eastAsia="ja-JP"/>
    </w:rPr>
  </w:style>
  <w:style w:type="paragraph" w:styleId="TOC1">
    <w:name w:val="toc 1"/>
    <w:basedOn w:val="Normal"/>
    <w:next w:val="Normal"/>
    <w:autoRedefine/>
    <w:uiPriority w:val="39"/>
    <w:unhideWhenUsed/>
    <w:rsid w:val="00684ED5"/>
    <w:pPr>
      <w:spacing w:after="100"/>
    </w:pPr>
  </w:style>
  <w:style w:type="paragraph" w:styleId="TOC2">
    <w:name w:val="toc 2"/>
    <w:basedOn w:val="Normal"/>
    <w:next w:val="Normal"/>
    <w:autoRedefine/>
    <w:uiPriority w:val="39"/>
    <w:unhideWhenUsed/>
    <w:rsid w:val="00684ED5"/>
    <w:pPr>
      <w:spacing w:after="100"/>
      <w:ind w:left="220"/>
    </w:pPr>
  </w:style>
  <w:style w:type="character" w:styleId="Hyperlink">
    <w:name w:val="Hyperlink"/>
    <w:basedOn w:val="DefaultParagraphFont"/>
    <w:uiPriority w:val="99"/>
    <w:unhideWhenUsed/>
    <w:rsid w:val="00684ED5"/>
    <w:rPr>
      <w:color w:val="0000FF" w:themeColor="hyperlink"/>
      <w:u w:val="single"/>
    </w:rPr>
  </w:style>
  <w:style w:type="paragraph" w:styleId="Subtitle">
    <w:name w:val="Subtitle"/>
    <w:basedOn w:val="Normal"/>
    <w:next w:val="Normal"/>
    <w:link w:val="SubtitleChar"/>
    <w:uiPriority w:val="11"/>
    <w:qFormat/>
    <w:rsid w:val="006D67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D6786"/>
    <w:rPr>
      <w:rFonts w:asciiTheme="majorHAnsi" w:eastAsiaTheme="majorEastAsia" w:hAnsiTheme="majorHAnsi" w:cstheme="majorBidi"/>
      <w:i/>
      <w:iCs/>
      <w:color w:val="4F81BD" w:themeColor="accent1"/>
      <w:spacing w:val="15"/>
      <w:sz w:val="24"/>
      <w:szCs w:val="24"/>
    </w:rPr>
  </w:style>
  <w:style w:type="table" w:styleId="MediumGrid1-Accent6">
    <w:name w:val="Medium Grid 1 Accent 6"/>
    <w:basedOn w:val="TableNormal"/>
    <w:uiPriority w:val="67"/>
    <w:rsid w:val="00341280"/>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Header">
    <w:name w:val="header"/>
    <w:basedOn w:val="Normal"/>
    <w:link w:val="HeaderChar"/>
    <w:uiPriority w:val="99"/>
    <w:semiHidden/>
    <w:unhideWhenUsed/>
    <w:rsid w:val="007322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2225"/>
  </w:style>
  <w:style w:type="paragraph" w:styleId="Footer">
    <w:name w:val="footer"/>
    <w:basedOn w:val="Normal"/>
    <w:link w:val="FooterChar"/>
    <w:uiPriority w:val="99"/>
    <w:unhideWhenUsed/>
    <w:rsid w:val="00732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6BE4A15E1164BB09BAA0FB7684376D9"/>
        <w:category>
          <w:name w:val="General"/>
          <w:gallery w:val="placeholder"/>
        </w:category>
        <w:types>
          <w:type w:val="bbPlcHdr"/>
        </w:types>
        <w:behaviors>
          <w:behavior w:val="content"/>
        </w:behaviors>
        <w:guid w:val="{4F576B85-CF4E-4A2D-BFB9-1D9933007011}"/>
      </w:docPartPr>
      <w:docPartBody>
        <w:p w:rsidR="00375F06" w:rsidRDefault="00B26A2C" w:rsidP="00B26A2C">
          <w:pPr>
            <w:pStyle w:val="86BE4A15E1164BB09BAA0FB7684376D9"/>
          </w:pPr>
          <w:r>
            <w:rPr>
              <w:rFonts w:asciiTheme="majorHAnsi" w:eastAsiaTheme="majorEastAsia" w:hAnsiTheme="majorHAnsi" w:cstheme="majorBidi"/>
              <w:color w:val="4F81BD" w:themeColor="accent1"/>
              <w:sz w:val="80"/>
              <w:szCs w:val="8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B26A2C"/>
    <w:rsid w:val="00375F06"/>
    <w:rsid w:val="00B26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F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4ADF5D877F4373826EDDE7759A8904">
    <w:name w:val="A24ADF5D877F4373826EDDE7759A8904"/>
    <w:rsid w:val="00B26A2C"/>
  </w:style>
  <w:style w:type="paragraph" w:customStyle="1" w:styleId="86BE4A15E1164BB09BAA0FB7684376D9">
    <w:name w:val="86BE4A15E1164BB09BAA0FB7684376D9"/>
    <w:rsid w:val="00B26A2C"/>
  </w:style>
  <w:style w:type="paragraph" w:customStyle="1" w:styleId="08AC7C2DA2254DE0AE5E0B33C97B8CCE">
    <w:name w:val="08AC7C2DA2254DE0AE5E0B33C97B8CCE"/>
    <w:rsid w:val="00B26A2C"/>
  </w:style>
  <w:style w:type="paragraph" w:customStyle="1" w:styleId="AAE61BDD4B87421B8C2847F9BAB6A415">
    <w:name w:val="AAE61BDD4B87421B8C2847F9BAB6A415"/>
    <w:rsid w:val="00B26A2C"/>
  </w:style>
  <w:style w:type="paragraph" w:customStyle="1" w:styleId="FA29D62BCDEE4C87AD66F926070E755A">
    <w:name w:val="FA29D62BCDEE4C87AD66F926070E755A"/>
    <w:rsid w:val="00B26A2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2011-10-17T00:00:00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8296E1-6D37-49AE-B0A7-1E33CF49C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14</Pages>
  <Words>2811</Words>
  <Characters>16027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Determining Whether the NFL Should Modify Its Regular Season to 18 Games</vt:lpstr>
    </vt:vector>
  </TitlesOfParts>
  <Company>Hewlett-Packard</Company>
  <LinksUpToDate>false</LinksUpToDate>
  <CharactersWithSpaces>18801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Determining Whether the NFL Should Modify Its Regular Season to 18 Games</dc:title>
  <dc:creator>Shannon Harris and Paul Matthews</dc:creator>
  <cp:lastModifiedBy>Shannon</cp:lastModifiedBy>
  <cp:revision>5</cp:revision>
  <dcterms:created xsi:type="dcterms:W3CDTF">2011-10-16T17:18:00Z</dcterms:created>
  <dcterms:modified xsi:type="dcterms:W3CDTF">2011-10-16T17:58:00Z</dcterms:modified>
</cp:coreProperties>
</file>