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10E" w:rsidRDefault="006B710E">
      <w:r>
        <w:rPr>
          <w:noProof/>
        </w:rPr>
        <w:pict>
          <v:shapetype id="_x0000_t202" coordsize="21600,21600" o:spt="202" path="m,l,21600r21600,l21600,xe">
            <v:stroke joinstyle="miter"/>
            <v:path gradientshapeok="t" o:connecttype="rect"/>
          </v:shapetype>
          <v:shape id="_x0000_s1026" type="#_x0000_t202" style="position:absolute;margin-left:90pt;margin-top:145.95pt;width:459pt;height:91.75pt;z-index:25165670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column-margin:5.7pt;mso-fit-shape-to-text:t" inset="2.85pt,2.85pt,2.85pt,2.85pt">
              <w:txbxContent>
                <w:p w:rsidR="006B710E" w:rsidRPr="00B139A8" w:rsidRDefault="006B710E" w:rsidP="00B139A8">
                  <w:pPr>
                    <w:pStyle w:val="Heading1"/>
                  </w:pPr>
                  <w:r>
                    <w:t>L.B. Foster Disaster Recovery Solution Selection</w:t>
                  </w:r>
                </w:p>
              </w:txbxContent>
            </v:textbox>
            <w10:wrap anchorx="page" anchory="page"/>
          </v:shape>
        </w:pict>
      </w:r>
      <w:r>
        <w:rPr>
          <w:noProof/>
        </w:rPr>
        <w:pict>
          <v:shape id="_x0000_s1027" type="#_x0000_t202" style="position:absolute;margin-left:99.35pt;margin-top:261pt;width:445.15pt;height:26.65pt;z-index:251658752;visibility:visible;mso-wrap-edited:f;mso-wrap-distance-left:2.88pt;mso-wrap-distance-top:2.88pt;mso-wrap-distance-right:2.88pt;mso-wrap-distance-bottom:2.88pt;mso-position-horizontal-relative:page;mso-position-vertical-relative:page" o:regroupid="1" filled="f" stroked="f" strokeweight="0" insetpen="t" o:cliptowrap="t">
            <v:shadow color="#ccc"/>
            <o:lock v:ext="edit" shapetype="t"/>
            <v:textbox style="mso-column-margin:5.7pt" inset="2.85pt,2.85pt,2.85pt,2.85pt">
              <w:txbxContent>
                <w:p w:rsidR="006B710E" w:rsidRPr="00B139A8" w:rsidRDefault="006B710E" w:rsidP="00B139A8">
                  <w:pPr>
                    <w:jc w:val="center"/>
                    <w:rPr>
                      <w:b/>
                      <w:bCs/>
                      <w:color w:val="FFFFFF"/>
                      <w:sz w:val="32"/>
                      <w:szCs w:val="32"/>
                    </w:rPr>
                  </w:pPr>
                  <w:r w:rsidRPr="00B139A8">
                    <w:rPr>
                      <w:b/>
                      <w:bCs/>
                      <w:color w:val="FFFFFF"/>
                      <w:sz w:val="32"/>
                      <w:szCs w:val="32"/>
                    </w:rPr>
                    <w:t>BQOM Decision Making in a Complex Environment</w:t>
                  </w:r>
                </w:p>
              </w:txbxContent>
            </v:textbox>
            <w10:wrap anchorx="page" anchory="page"/>
          </v:shape>
        </w:pict>
      </w:r>
      <w:r>
        <w:rPr>
          <w:noProof/>
        </w:rPr>
        <w:pict>
          <v:shape id="_x0000_s1028" type="#_x0000_t202" style="position:absolute;margin-left:297.35pt;margin-top:324pt;width:267.3pt;height:386.5pt;z-index:251659776;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column-margin:5.7pt;mso-fit-shape-to-text:t" inset="2.85pt,2.85pt,2.85pt,2.85pt">
              <w:txbxContent>
                <w:p w:rsidR="006B710E" w:rsidRPr="00B139A8" w:rsidRDefault="006B710E" w:rsidP="00B139A8"/>
              </w:txbxContent>
            </v:textbox>
            <w10:wrap anchorx="page" anchory="page"/>
          </v:shape>
        </w:pict>
      </w:r>
      <w:r>
        <w:rPr>
          <w:noProof/>
        </w:rPr>
        <w:pict>
          <v:shape id="_x0000_s1029" type="#_x0000_t202" style="position:absolute;margin-left:99.35pt;margin-top:324pt;width:135pt;height:135pt;z-index:251660800;mso-position-horizontal-relative:page;mso-position-vertical-relative:page" filled="f" stroked="f">
            <v:textbox style="mso-fit-shape-to-text:t" inset="3.6pt,,3.6pt">
              <w:txbxContent>
                <w:p w:rsidR="006B710E" w:rsidRDefault="006B710E" w:rsidP="00B139A8">
                  <w:pPr>
                    <w:pStyle w:val="Heading3"/>
                  </w:pPr>
                  <w:r>
                    <w:t>Date: 4/23/2013</w:t>
                  </w:r>
                </w:p>
                <w:p w:rsidR="006B710E" w:rsidRDefault="006B710E" w:rsidP="00B139A8"/>
                <w:p w:rsidR="006B710E" w:rsidRPr="00B139A8" w:rsidRDefault="006B710E" w:rsidP="00B139A8"/>
                <w:p w:rsidR="006B710E" w:rsidRPr="002F5063" w:rsidRDefault="006B710E" w:rsidP="002F5063">
                  <w:pPr>
                    <w:pStyle w:val="Heading3"/>
                  </w:pPr>
                  <w:r>
                    <w:t>Edward Donehue</w:t>
                  </w:r>
                </w:p>
              </w:txbxContent>
            </v:textbox>
            <w10:wrap anchorx="page" anchory="page"/>
          </v:shape>
        </w:pict>
      </w:r>
      <w:r>
        <w:rPr>
          <w:noProof/>
        </w:rPr>
        <w:pict>
          <v:roundrect id="_x0000_s1030" style="position:absolute;margin-left:90pt;margin-top:261pt;width:476.95pt;height:22.5pt;z-index:251657728;visibility:visible;mso-wrap-edited:f;mso-wrap-distance-left:2.88pt;mso-wrap-distance-top:2.88pt;mso-wrap-distance-right:2.88pt;mso-wrap-distance-bottom:2.88pt;mso-position-horizontal-relative:page;mso-position-vertical-relative:page" arcsize=".5" o:regroupid="1" fillcolor="navy" stroked="f" strokeweight="0" insetpen="t" o:cliptowrap="t">
            <v:shadow color="#ccc"/>
            <o:lock v:ext="edit" shapetype="t"/>
            <v:textbox inset="2.88pt,2.88pt,2.88pt,2.88pt"/>
            <w10:wrap anchorx="page" anchory="page"/>
          </v:roundrect>
        </w:pict>
      </w:r>
      <w:r>
        <w:rPr>
          <w:noProof/>
        </w:rPr>
        <w:pict>
          <v:roundrect id="_x0000_s1031" style="position:absolute;margin-left:63pt;margin-top:126pt;width:333pt;height:138pt;z-index:251655680;visibility:visible;mso-wrap-edited:f;mso-wrap-distance-left:2.88pt;mso-wrap-distance-top:2.88pt;mso-wrap-distance-right:2.88pt;mso-wrap-distance-bottom:2.88pt;mso-position-horizontal-relative:page;mso-position-vertical-relative:page" arcsize=".5" o:regroupid="2" stroked="f" strokeweight="0" insetpen="t" o:cliptowrap="t">
            <v:shadow color="#ccc"/>
            <o:lock v:ext="edit" shapetype="t"/>
            <v:textbox inset="2.88pt,2.88pt,2.88pt,2.88pt"/>
            <w10:wrap anchorx="page" anchory="page"/>
          </v:roundrect>
        </w:pict>
      </w:r>
      <w:r>
        <w:rPr>
          <w:noProof/>
        </w:rPr>
        <w:pict>
          <v:rect id="_x0000_s1032" style="position:absolute;margin-left:45pt;margin-top:36pt;width:206.1pt;height:708.5pt;z-index:251654656;visibility:visible;mso-wrap-edited:f;mso-wrap-distance-left:2.88pt;mso-wrap-distance-top:2.88pt;mso-wrap-distance-right:2.88pt;mso-wrap-distance-bottom:2.88pt;mso-position-horizontal-relative:page;mso-position-vertical-relative:page" o:regroupid="2" fillcolor="#9c9" stroked="f" strokeweight="0" insetpen="t" o:cliptowrap="t">
            <v:shadow color="#ccc"/>
            <o:lock v:ext="edit" shapetype="t"/>
            <v:textbox inset="2.88pt,2.88pt,2.88pt,2.88pt"/>
            <w10:wrap anchorx="page" anchory="page"/>
          </v:rect>
        </w:pict>
      </w:r>
      <w:r w:rsidRPr="0011176B">
        <w:t xml:space="preserve"> </w:t>
      </w:r>
    </w:p>
    <w:p w:rsidR="006B710E" w:rsidRDefault="006B710E">
      <w:r>
        <w:br w:type="page"/>
      </w:r>
    </w:p>
    <w:p w:rsidR="006B710E" w:rsidRPr="00ED0556" w:rsidRDefault="006B710E" w:rsidP="00E92E23">
      <w:pPr>
        <w:rPr>
          <w:color w:val="333333"/>
          <w:kern w:val="0"/>
          <w:sz w:val="24"/>
          <w:szCs w:val="24"/>
        </w:rPr>
      </w:pPr>
      <w:r w:rsidRPr="00ED0556">
        <w:rPr>
          <w:b/>
          <w:bCs/>
          <w:sz w:val="24"/>
          <w:szCs w:val="24"/>
        </w:rPr>
        <w:t xml:space="preserve">L.B. Foster Company: </w:t>
      </w:r>
      <w:r w:rsidRPr="00ED0556">
        <w:rPr>
          <w:color w:val="333333"/>
          <w:kern w:val="0"/>
          <w:sz w:val="24"/>
          <w:szCs w:val="24"/>
        </w:rPr>
        <w:t xml:space="preserve">For more than a century, our L.B. Foster </w:t>
      </w:r>
      <w:r>
        <w:rPr>
          <w:color w:val="333333"/>
          <w:kern w:val="0"/>
          <w:sz w:val="24"/>
          <w:szCs w:val="24"/>
        </w:rPr>
        <w:t xml:space="preserve">(LBF) </w:t>
      </w:r>
      <w:r w:rsidRPr="00ED0556">
        <w:rPr>
          <w:color w:val="333333"/>
          <w:kern w:val="0"/>
          <w:sz w:val="24"/>
          <w:szCs w:val="24"/>
        </w:rPr>
        <w:t>has provided the materials necessary to construct and maintain major transportation, construction, utility, recreation and agriculture projects. Our products have recently contributed to the improvement of many landmark structures including the Panama Canal, Brooklyn Bridge and New Orleans flood walls. L.B. Foster operates individual business units that specialize in rail, construction and tubular products. These groups manage manufacturing, distribution and sales facilities nationwide. We also function as a distributor and service provider in strategic alliances with industry leading manufacturing and engineering firms.</w:t>
      </w:r>
    </w:p>
    <w:p w:rsidR="006B710E" w:rsidRPr="00ED0556" w:rsidRDefault="006B710E" w:rsidP="00E92E23">
      <w:pPr>
        <w:rPr>
          <w:color w:val="333333"/>
          <w:kern w:val="0"/>
          <w:sz w:val="24"/>
          <w:szCs w:val="24"/>
        </w:rPr>
      </w:pPr>
    </w:p>
    <w:p w:rsidR="006B710E" w:rsidRPr="00ED0556" w:rsidRDefault="006B710E" w:rsidP="00E92E23">
      <w:pPr>
        <w:rPr>
          <w:color w:val="333333"/>
          <w:kern w:val="0"/>
          <w:sz w:val="24"/>
          <w:szCs w:val="24"/>
        </w:rPr>
      </w:pPr>
      <w:r w:rsidRPr="00ED0556">
        <w:rPr>
          <w:color w:val="333333"/>
          <w:kern w:val="0"/>
          <w:sz w:val="24"/>
          <w:szCs w:val="24"/>
        </w:rPr>
        <w:t>Our company maintains ongoing programs that enhance product quality, improve operational processes and assure employee safety. L.B. Foster is committed to providing superior products for our customers, an entrepreneurial climate for our employees and exceptional value for our stakeholders.</w:t>
      </w:r>
    </w:p>
    <w:p w:rsidR="006B710E" w:rsidRPr="00ED0556" w:rsidRDefault="006B710E">
      <w:pPr>
        <w:rPr>
          <w:sz w:val="24"/>
          <w:szCs w:val="24"/>
        </w:rPr>
      </w:pPr>
    </w:p>
    <w:p w:rsidR="006B710E" w:rsidRPr="00ED0556" w:rsidRDefault="006B710E">
      <w:pPr>
        <w:rPr>
          <w:sz w:val="24"/>
          <w:szCs w:val="24"/>
        </w:rPr>
      </w:pPr>
    </w:p>
    <w:p w:rsidR="006B710E" w:rsidRPr="00ED0556" w:rsidRDefault="006B710E">
      <w:pPr>
        <w:rPr>
          <w:sz w:val="24"/>
          <w:szCs w:val="24"/>
        </w:rPr>
      </w:pPr>
      <w:r w:rsidRPr="00ED0556">
        <w:rPr>
          <w:b/>
          <w:bCs/>
          <w:sz w:val="24"/>
          <w:szCs w:val="24"/>
        </w:rPr>
        <w:t xml:space="preserve">L.B. Foster IT Department: </w:t>
      </w:r>
      <w:r w:rsidRPr="00ED0556">
        <w:rPr>
          <w:sz w:val="24"/>
          <w:szCs w:val="24"/>
        </w:rPr>
        <w:t xml:space="preserve">Recently the L.B. Foster IT Department was charged with enhancing the Disaster Recovery capabilities for the corporate headquarters and the main remote locations. </w:t>
      </w:r>
      <w:r>
        <w:rPr>
          <w:sz w:val="24"/>
          <w:szCs w:val="24"/>
        </w:rPr>
        <w:t xml:space="preserve">The established success criteria are; 1. Recovery Time Objective (RTO) of less than 12 hours; 2. a Recovery Point Objective (RPO) that includes the VMWare server farm, critical applications and the JD Edwards Server; 3. Lastly to complete the project by the end of 2013 </w:t>
      </w:r>
    </w:p>
    <w:p w:rsidR="006B710E" w:rsidRDefault="006B710E"/>
    <w:p w:rsidR="006B710E" w:rsidRDefault="006B710E">
      <w:pPr>
        <w:rPr>
          <w:sz w:val="24"/>
          <w:szCs w:val="24"/>
        </w:rPr>
      </w:pPr>
      <w:r>
        <w:rPr>
          <w:b/>
          <w:bCs/>
          <w:sz w:val="24"/>
          <w:szCs w:val="24"/>
        </w:rPr>
        <w:t>Risk Assessment and Disaster Impact</w:t>
      </w:r>
      <w:r w:rsidRPr="00ED0556">
        <w:rPr>
          <w:b/>
          <w:bCs/>
          <w:sz w:val="24"/>
          <w:szCs w:val="24"/>
        </w:rPr>
        <w:t>:</w:t>
      </w:r>
      <w:r>
        <w:rPr>
          <w:b/>
          <w:bCs/>
          <w:sz w:val="24"/>
          <w:szCs w:val="24"/>
        </w:rPr>
        <w:t xml:space="preserve"> </w:t>
      </w:r>
      <w:r>
        <w:rPr>
          <w:sz w:val="24"/>
          <w:szCs w:val="24"/>
        </w:rPr>
        <w:t xml:space="preserve">The existing state of Disaster Recovery at L.B. Foster is basically a standard backup system, without Disaster Recovery or Business Continuity capabilities. The corporate headquarters in Greentree, PA is at minimal risk of damage from a disaster. Flooding and flash floods would not reach our datacenter, the western PA area is at low risk of most "Acts of God" weather related occurrences and man made/caused disasters are statistically rare. In addition, LBF has a high risk tolerance as demonstrated by the existing RTO objective of 7 days.  </w:t>
      </w:r>
    </w:p>
    <w:p w:rsidR="006B710E" w:rsidRDefault="006B710E">
      <w:pPr>
        <w:rPr>
          <w:sz w:val="24"/>
          <w:szCs w:val="24"/>
        </w:rPr>
      </w:pPr>
    </w:p>
    <w:p w:rsidR="006B710E" w:rsidRDefault="006B710E">
      <w:pPr>
        <w:rPr>
          <w:sz w:val="24"/>
          <w:szCs w:val="24"/>
        </w:rPr>
      </w:pPr>
      <w:r>
        <w:rPr>
          <w:sz w:val="24"/>
          <w:szCs w:val="24"/>
        </w:rPr>
        <w:t xml:space="preserve">A major area of concern is the network design. There are multiple Single Points of Failure (SPOC) non-redundant critical network devices. </w:t>
      </w:r>
    </w:p>
    <w:p w:rsidR="006B710E" w:rsidRDefault="006B710E">
      <w:pPr>
        <w:rPr>
          <w:sz w:val="24"/>
          <w:szCs w:val="24"/>
        </w:rPr>
      </w:pPr>
    </w:p>
    <w:p w:rsidR="006B710E" w:rsidRDefault="006B710E">
      <w:pPr>
        <w:rPr>
          <w:sz w:val="24"/>
          <w:szCs w:val="24"/>
        </w:rPr>
      </w:pPr>
      <w:r>
        <w:rPr>
          <w:sz w:val="24"/>
          <w:szCs w:val="24"/>
        </w:rPr>
        <w:t xml:space="preserve">The impact of a disaster on the Greentree headquarters is extremely high. With the existing backup infrastructure and a seven day turn around on system recovery the loss of revenue, customer goodwill and the threat of punitive government measures the cost associated with a failure could ruin the company. </w:t>
      </w:r>
    </w:p>
    <w:p w:rsidR="006B710E" w:rsidRDefault="006B710E">
      <w:pPr>
        <w:rPr>
          <w:sz w:val="24"/>
          <w:szCs w:val="24"/>
        </w:rPr>
      </w:pPr>
    </w:p>
    <w:p w:rsidR="006B710E" w:rsidRPr="00C6047F" w:rsidRDefault="006B710E">
      <w:r w:rsidRPr="00C6047F">
        <w:rPr>
          <w:b/>
          <w:bCs/>
          <w:sz w:val="24"/>
          <w:szCs w:val="24"/>
        </w:rPr>
        <w:t>Super Decisions:</w:t>
      </w:r>
      <w:r>
        <w:rPr>
          <w:sz w:val="24"/>
          <w:szCs w:val="24"/>
        </w:rPr>
        <w:t xml:space="preserve"> The objective of the Super Decisions model is to determine the best possible method for Disaster Recovery. The choices include make no changes to the existing system, build a LBF second (possibly two) datacenters in our existing remote locations, purchase new servers and networking equipment and lease datacenter space and lastly lease the network equipment and datacenter space. </w:t>
      </w:r>
    </w:p>
    <w:p w:rsidR="006B710E" w:rsidRPr="00C6047F" w:rsidRDefault="006B710E">
      <w:pPr>
        <w:rPr>
          <w:b/>
          <w:bCs/>
        </w:rPr>
      </w:pPr>
    </w:p>
    <w:p w:rsidR="006B710E" w:rsidRDefault="006B710E"/>
    <w:p w:rsidR="006B710E" w:rsidRDefault="006B710E">
      <w:pPr>
        <w:rPr>
          <w:b/>
          <w:bCs/>
          <w:sz w:val="24"/>
          <w:szCs w:val="24"/>
        </w:rPr>
      </w:pPr>
    </w:p>
    <w:p w:rsidR="006B710E" w:rsidRDefault="006B710E">
      <w:pPr>
        <w:rPr>
          <w:b/>
          <w:bCs/>
          <w:sz w:val="24"/>
          <w:szCs w:val="24"/>
        </w:rPr>
      </w:pPr>
    </w:p>
    <w:p w:rsidR="006B710E" w:rsidRPr="00C6047F" w:rsidRDefault="006B710E">
      <w:pPr>
        <w:rPr>
          <w:b/>
          <w:bCs/>
          <w:sz w:val="24"/>
          <w:szCs w:val="24"/>
        </w:rPr>
      </w:pPr>
      <w:r w:rsidRPr="00C6047F">
        <w:rPr>
          <w:b/>
          <w:bCs/>
          <w:sz w:val="24"/>
          <w:szCs w:val="24"/>
        </w:rPr>
        <w:t xml:space="preserve">Glossary: </w:t>
      </w:r>
    </w:p>
    <w:p w:rsidR="006B710E" w:rsidRPr="00C6047F" w:rsidRDefault="006B710E">
      <w:pPr>
        <w:rPr>
          <w:sz w:val="24"/>
          <w:szCs w:val="24"/>
        </w:rPr>
      </w:pPr>
    </w:p>
    <w:p w:rsidR="006B710E" w:rsidRPr="00C6047F" w:rsidRDefault="006B710E" w:rsidP="002A5637">
      <w:pPr>
        <w:rPr>
          <w:sz w:val="24"/>
          <w:szCs w:val="24"/>
        </w:rPr>
      </w:pPr>
      <w:r w:rsidRPr="00C6047F">
        <w:rPr>
          <w:b/>
          <w:bCs/>
          <w:sz w:val="24"/>
          <w:szCs w:val="24"/>
        </w:rPr>
        <w:t>Single Point of Failure (SPOF)</w:t>
      </w:r>
      <w:r w:rsidRPr="00C6047F">
        <w:rPr>
          <w:sz w:val="24"/>
          <w:szCs w:val="24"/>
        </w:rPr>
        <w:t xml:space="preserve"> is a part of a system that, if it fails, will stop the entire system from working. They are undesirable in any system with a goal of high availability or reliability, be it a business practice, software application, or other industrial system.</w:t>
      </w:r>
    </w:p>
    <w:p w:rsidR="006B710E" w:rsidRPr="00C6047F" w:rsidRDefault="006B710E" w:rsidP="002A5637">
      <w:pPr>
        <w:rPr>
          <w:sz w:val="24"/>
          <w:szCs w:val="24"/>
        </w:rPr>
      </w:pPr>
      <w:r w:rsidRPr="00C6047F">
        <w:rPr>
          <w:b/>
          <w:bCs/>
          <w:sz w:val="24"/>
          <w:szCs w:val="24"/>
        </w:rPr>
        <w:t>Backup and Data Redundancy</w:t>
      </w:r>
      <w:r w:rsidRPr="00C6047F">
        <w:rPr>
          <w:sz w:val="24"/>
          <w:szCs w:val="24"/>
        </w:rPr>
        <w:t xml:space="preserve"> is the process of backing up, refers to the copying and archiving of computer data so it may be used to restore the original after a data loss event </w:t>
      </w:r>
    </w:p>
    <w:p w:rsidR="006B710E" w:rsidRPr="00C6047F" w:rsidRDefault="006B710E" w:rsidP="002A5637">
      <w:pPr>
        <w:rPr>
          <w:sz w:val="24"/>
          <w:szCs w:val="24"/>
        </w:rPr>
      </w:pPr>
      <w:r w:rsidRPr="00C6047F">
        <w:rPr>
          <w:sz w:val="24"/>
          <w:szCs w:val="24"/>
        </w:rPr>
        <w:t xml:space="preserve">Backups have two distinct purposes. The primary purpose is to recover data after its loss, be it by data deletion or corruption. The secondary purpose of backups is to recover data from an earlier time, according to a user-defined data retention policy, typically configured within a backup application for how long copies of data are required. Though backups popularly represent a simple form of disaster recovery, and should be part of a disaster recovery plan, by themselves, </w:t>
      </w:r>
      <w:r w:rsidRPr="00C6047F">
        <w:rPr>
          <w:b/>
          <w:bCs/>
          <w:sz w:val="24"/>
          <w:szCs w:val="24"/>
        </w:rPr>
        <w:t>backups should not alone be considered disaster recovery</w:t>
      </w:r>
      <w:r w:rsidRPr="00C6047F">
        <w:rPr>
          <w:sz w:val="24"/>
          <w:szCs w:val="24"/>
        </w:rPr>
        <w:t>.  One reason for this is that not all backup systems or backup applications are able to reconstitute a computer system or other complex configurations such as a computer cluster, active directory servers, or a database server, by restoring only data from a backup.</w:t>
      </w:r>
    </w:p>
    <w:p w:rsidR="006B710E" w:rsidRPr="00C6047F" w:rsidRDefault="006B710E" w:rsidP="002A5637">
      <w:pPr>
        <w:rPr>
          <w:b/>
          <w:bCs/>
          <w:sz w:val="24"/>
          <w:szCs w:val="24"/>
        </w:rPr>
      </w:pPr>
      <w:r w:rsidRPr="00C6047F">
        <w:rPr>
          <w:sz w:val="24"/>
          <w:szCs w:val="24"/>
        </w:rPr>
        <w:t xml:space="preserve"> Since a backup system contains at least one copy of all data worth savithat includeng, the data storage requirements can be significant. Organizing this storage space and managing the backup process can be complicated undertaking. </w:t>
      </w:r>
    </w:p>
    <w:p w:rsidR="006B710E" w:rsidRPr="00C6047F" w:rsidRDefault="006B710E" w:rsidP="002A5637">
      <w:pPr>
        <w:rPr>
          <w:sz w:val="24"/>
          <w:szCs w:val="24"/>
        </w:rPr>
      </w:pPr>
      <w:r w:rsidRPr="00C6047F">
        <w:rPr>
          <w:b/>
          <w:bCs/>
          <w:sz w:val="24"/>
          <w:szCs w:val="24"/>
        </w:rPr>
        <w:t>Disaster Recovery</w:t>
      </w:r>
      <w:r w:rsidRPr="00C6047F">
        <w:rPr>
          <w:sz w:val="24"/>
          <w:szCs w:val="24"/>
        </w:rPr>
        <w:t xml:space="preserve"> is the process, policies and procedures that are related to preparing for recovery or continuation of technology infrastructure which are vital to an organization after a natural or human-induced disaster. Disaster recovery is a subset of business continuity. While business continuity involves planning for keeping all aspects of a business functioning in the midst of disruptive events, disaster recovery focuses on the IT or technology systems that support business functions.</w:t>
      </w:r>
    </w:p>
    <w:p w:rsidR="006B710E" w:rsidRPr="00C6047F" w:rsidRDefault="006B710E" w:rsidP="002A5637">
      <w:pPr>
        <w:rPr>
          <w:sz w:val="24"/>
          <w:szCs w:val="24"/>
        </w:rPr>
      </w:pPr>
      <w:r w:rsidRPr="00C6047F">
        <w:rPr>
          <w:b/>
          <w:bCs/>
          <w:sz w:val="24"/>
          <w:szCs w:val="24"/>
        </w:rPr>
        <w:t>Business continuity</w:t>
      </w:r>
      <w:r w:rsidRPr="00C6047F">
        <w:rPr>
          <w:sz w:val="24"/>
          <w:szCs w:val="24"/>
        </w:rPr>
        <w:t xml:space="preserve"> is the activity performed by an organization to ensure that critical business functions will be available to customers, suppliers, regulators, and other entities that must have access to those functions. These activities include many daily chores such as project management, system backups, change control, and help desk. Business continuity is not something implemented at the time of a disaster; Business Continuity refers to those activities performed daily to maintain service, consistency, and recoverability.</w:t>
      </w:r>
    </w:p>
    <w:p w:rsidR="006B710E" w:rsidRPr="00C6047F" w:rsidRDefault="006B710E" w:rsidP="002A5637">
      <w:pPr>
        <w:rPr>
          <w:sz w:val="24"/>
          <w:szCs w:val="24"/>
        </w:rPr>
      </w:pPr>
      <w:r w:rsidRPr="00C6047F">
        <w:rPr>
          <w:sz w:val="24"/>
          <w:szCs w:val="24"/>
        </w:rPr>
        <w:t xml:space="preserve"> The foundation of business continuity are the standards, program development, and supporting policies; guidelines, and procedures needed to ensure a firm to continue without stoppage, irrespective of the adverse circumstances or events. All system design, implementation, support, and maintenance must be based on this foundation in order to have any hope of achieving business continuity, disaster recovery, or in some cases, system support. Business continuity is sometimes confused with disaster recovery, but they are separate entities. Disaster recovery is a small subset of business continuity. It is also sometimes confused with Work Area Recovery (due to loss of the physical building which the business is conducted within); which is but a part of business continuity.</w:t>
      </w:r>
    </w:p>
    <w:p w:rsidR="006B710E" w:rsidRPr="00C6047F" w:rsidRDefault="006B710E" w:rsidP="002A5637">
      <w:pPr>
        <w:rPr>
          <w:sz w:val="24"/>
          <w:szCs w:val="24"/>
        </w:rPr>
      </w:pPr>
      <w:r w:rsidRPr="00C6047F">
        <w:rPr>
          <w:b/>
          <w:bCs/>
          <w:sz w:val="24"/>
          <w:szCs w:val="24"/>
        </w:rPr>
        <w:t xml:space="preserve">High Availability </w:t>
      </w:r>
      <w:r w:rsidRPr="00C6047F">
        <w:rPr>
          <w:sz w:val="24"/>
          <w:szCs w:val="24"/>
        </w:rPr>
        <w:t>is a system design approach and associated service implementation that ensures a prearranged level of operational performance will be met during a contractual measurement period.</w:t>
      </w:r>
    </w:p>
    <w:p w:rsidR="006B710E" w:rsidRDefault="006B710E" w:rsidP="002A5637">
      <w:pPr>
        <w:spacing w:before="100" w:beforeAutospacing="1" w:after="100" w:afterAutospacing="1"/>
        <w:outlineLvl w:val="3"/>
        <w:rPr>
          <w:b/>
          <w:bCs/>
        </w:rPr>
      </w:pPr>
    </w:p>
    <w:p w:rsidR="006B710E" w:rsidRDefault="006B710E" w:rsidP="002A5637">
      <w:pPr>
        <w:spacing w:before="100" w:beforeAutospacing="1" w:after="100" w:afterAutospacing="1"/>
        <w:outlineLvl w:val="3"/>
        <w:rPr>
          <w:b/>
          <w:bCs/>
          <w:sz w:val="24"/>
          <w:szCs w:val="24"/>
        </w:rPr>
      </w:pPr>
    </w:p>
    <w:p w:rsidR="006B710E" w:rsidRDefault="006B710E" w:rsidP="002A5637">
      <w:pPr>
        <w:spacing w:before="100" w:beforeAutospacing="1" w:after="100" w:afterAutospacing="1"/>
        <w:outlineLvl w:val="3"/>
        <w:rPr>
          <w:b/>
          <w:bCs/>
          <w:sz w:val="24"/>
          <w:szCs w:val="24"/>
        </w:rPr>
      </w:pPr>
    </w:p>
    <w:p w:rsidR="006B710E" w:rsidRPr="00C50E08" w:rsidRDefault="006B710E" w:rsidP="002A5637">
      <w:pPr>
        <w:spacing w:before="100" w:beforeAutospacing="1" w:after="100" w:afterAutospacing="1"/>
        <w:outlineLvl w:val="3"/>
        <w:rPr>
          <w:sz w:val="24"/>
          <w:szCs w:val="24"/>
        </w:rPr>
      </w:pPr>
      <w:r w:rsidRPr="00C50E08">
        <w:rPr>
          <w:b/>
          <w:bCs/>
          <w:sz w:val="24"/>
          <w:szCs w:val="24"/>
        </w:rPr>
        <w:t>The Model:</w:t>
      </w:r>
    </w:p>
    <w:p w:rsidR="006B710E" w:rsidRDefault="006B710E" w:rsidP="002A5637">
      <w:pPr>
        <w:spacing w:before="100" w:beforeAutospacing="1" w:after="100" w:afterAutospacing="1"/>
        <w:outlineLvl w:val="3"/>
        <w:rPr>
          <w:sz w:val="24"/>
          <w:szCs w:val="24"/>
        </w:rPr>
      </w:pPr>
      <w:r w:rsidRPr="00C50E08">
        <w:rPr>
          <w:sz w:val="24"/>
          <w:szCs w:val="24"/>
        </w:rPr>
        <w:t xml:space="preserve">My goal was to use the Super Decisions Model to </w:t>
      </w:r>
      <w:r>
        <w:rPr>
          <w:sz w:val="24"/>
          <w:szCs w:val="24"/>
        </w:rPr>
        <w:t>make a decide what disaster recovery methodology to use at LBF. I used the Benefits, Opportunities, Costs and Risks model to evaluate:</w:t>
      </w:r>
    </w:p>
    <w:p w:rsidR="006B710E" w:rsidRPr="00C50E08" w:rsidRDefault="006B710E" w:rsidP="00C50E08">
      <w:pPr>
        <w:numPr>
          <w:ilvl w:val="0"/>
          <w:numId w:val="7"/>
        </w:numPr>
        <w:spacing w:before="100" w:beforeAutospacing="1" w:after="100" w:afterAutospacing="1"/>
        <w:outlineLvl w:val="3"/>
        <w:rPr>
          <w:sz w:val="24"/>
          <w:szCs w:val="24"/>
        </w:rPr>
      </w:pPr>
      <w:r w:rsidRPr="00C50E08">
        <w:rPr>
          <w:sz w:val="24"/>
          <w:szCs w:val="24"/>
        </w:rPr>
        <w:t>No Changes (Existing DR System)</w:t>
      </w:r>
    </w:p>
    <w:p w:rsidR="006B710E" w:rsidRPr="00C50E08" w:rsidRDefault="006B710E" w:rsidP="00C50E08">
      <w:pPr>
        <w:numPr>
          <w:ilvl w:val="0"/>
          <w:numId w:val="7"/>
        </w:numPr>
        <w:spacing w:before="100" w:beforeAutospacing="1" w:after="100" w:afterAutospacing="1"/>
        <w:outlineLvl w:val="3"/>
        <w:rPr>
          <w:sz w:val="24"/>
          <w:szCs w:val="24"/>
        </w:rPr>
      </w:pPr>
      <w:r w:rsidRPr="00C50E08">
        <w:rPr>
          <w:sz w:val="24"/>
          <w:szCs w:val="24"/>
        </w:rPr>
        <w:t>LBF Distributed DataCenter</w:t>
      </w:r>
    </w:p>
    <w:p w:rsidR="006B710E" w:rsidRPr="00C50E08" w:rsidRDefault="006B710E" w:rsidP="00C50E08">
      <w:pPr>
        <w:numPr>
          <w:ilvl w:val="0"/>
          <w:numId w:val="7"/>
        </w:numPr>
        <w:spacing w:before="100" w:beforeAutospacing="1" w:after="100" w:afterAutospacing="1"/>
        <w:outlineLvl w:val="3"/>
        <w:rPr>
          <w:sz w:val="24"/>
          <w:szCs w:val="24"/>
        </w:rPr>
      </w:pPr>
      <w:r w:rsidRPr="00C50E08">
        <w:rPr>
          <w:sz w:val="24"/>
          <w:szCs w:val="24"/>
        </w:rPr>
        <w:t>DR Service w/LBF Equipment</w:t>
      </w:r>
    </w:p>
    <w:p w:rsidR="006B710E" w:rsidRDefault="006B710E" w:rsidP="00C50E08">
      <w:pPr>
        <w:numPr>
          <w:ilvl w:val="0"/>
          <w:numId w:val="7"/>
        </w:numPr>
        <w:spacing w:before="100" w:beforeAutospacing="1" w:after="100" w:afterAutospacing="1"/>
        <w:outlineLvl w:val="3"/>
        <w:rPr>
          <w:sz w:val="24"/>
          <w:szCs w:val="24"/>
        </w:rPr>
      </w:pPr>
      <w:r w:rsidRPr="00C50E08">
        <w:rPr>
          <w:sz w:val="24"/>
          <w:szCs w:val="24"/>
        </w:rPr>
        <w:t>DR Service w/Leased Equipment</w:t>
      </w:r>
    </w:p>
    <w:p w:rsidR="006B710E" w:rsidRDefault="006B710E" w:rsidP="006A060D">
      <w:pPr>
        <w:spacing w:before="100" w:beforeAutospacing="1" w:after="100" w:afterAutospacing="1"/>
        <w:outlineLvl w:val="3"/>
        <w:rPr>
          <w:sz w:val="24"/>
          <w:szCs w:val="24"/>
        </w:rPr>
      </w:pPr>
      <w:r w:rsidRPr="0076182E">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27.75pt">
            <v:imagedata r:id="rId7" o:title=""/>
          </v:shape>
        </w:pict>
      </w:r>
    </w:p>
    <w:p w:rsidR="006B710E" w:rsidRPr="006A060D" w:rsidRDefault="006B710E" w:rsidP="006A060D">
      <w:pPr>
        <w:pStyle w:val="yiv58177436msonormal"/>
        <w:rPr>
          <w:i/>
          <w:iCs/>
          <w:sz w:val="22"/>
          <w:szCs w:val="22"/>
        </w:rPr>
      </w:pPr>
      <w:r>
        <w:t xml:space="preserve">Rozann made the following observation about the model. </w:t>
      </w:r>
      <w:r w:rsidRPr="006A060D">
        <w:rPr>
          <w:i/>
          <w:iCs/>
          <w:sz w:val="22"/>
          <w:szCs w:val="22"/>
        </w:rPr>
        <w:t>"</w:t>
      </w:r>
      <w:r w:rsidRPr="006A060D">
        <w:rPr>
          <w:i/>
          <w:iCs/>
          <w:color w:val="1F497D"/>
          <w:sz w:val="22"/>
          <w:szCs w:val="22"/>
        </w:rPr>
        <w:t xml:space="preserve"> In your strategic criteria you have main criteria and subcriteria.  And it is interesting the way you did it as you have each of the main criteria linked to the subcriteria – this is okay to do, but rare to see – it is known as a complete hierarchy where the same subcriteria are evaluated for each of the main criteria, instead of each main criterion being linked to its own special subcriteria. </w:t>
      </w:r>
    </w:p>
    <w:p w:rsidR="006B710E" w:rsidRPr="006A060D" w:rsidRDefault="006B710E" w:rsidP="006A060D">
      <w:pPr>
        <w:pStyle w:val="yiv58177436msonormal"/>
        <w:rPr>
          <w:i/>
          <w:iCs/>
          <w:sz w:val="22"/>
          <w:szCs w:val="22"/>
        </w:rPr>
      </w:pPr>
      <w:r w:rsidRPr="006A060D">
        <w:rPr>
          <w:i/>
          <w:iCs/>
          <w:color w:val="1F497D"/>
          <w:sz w:val="22"/>
          <w:szCs w:val="22"/>
        </w:rPr>
        <w:t>Anyway, the question is: are you more interested in rating your BOCR nodes against the main criteria? Or in the subcriteria? I would think perhaps it would be better to select the subcriteria for your ratings columns instead of the main criteria as you have done. Otherwise the judgments you made to prioritize the subcriteria don’t have any effect in the model.</w:t>
      </w:r>
    </w:p>
    <w:p w:rsidR="006B710E" w:rsidRPr="006A060D" w:rsidRDefault="006B710E" w:rsidP="006A060D">
      <w:pPr>
        <w:pStyle w:val="yiv58177436msonormal"/>
        <w:rPr>
          <w:i/>
          <w:iCs/>
          <w:sz w:val="22"/>
          <w:szCs w:val="22"/>
        </w:rPr>
      </w:pPr>
      <w:r w:rsidRPr="006A060D">
        <w:rPr>
          <w:i/>
          <w:iCs/>
          <w:color w:val="1F497D"/>
          <w:sz w:val="22"/>
          <w:szCs w:val="22"/>
        </w:rPr>
        <w:t xml:space="preserve"> Another way to prioritize the main criteria instead of having a goal and linking them from the goal would be to get rid of the goal altogether and link the subcriteria back to the main criteria then make the additional judgments that would be required. This should give more reliable priorities for the main criteria. It is not that much work to do. </w:t>
      </w:r>
    </w:p>
    <w:p w:rsidR="006B710E" w:rsidRDefault="006B710E" w:rsidP="006A060D">
      <w:pPr>
        <w:pStyle w:val="yiv58177436msonormal"/>
      </w:pPr>
      <w:r w:rsidRPr="006A060D">
        <w:rPr>
          <w:i/>
          <w:iCs/>
          <w:color w:val="1F497D"/>
          <w:sz w:val="22"/>
          <w:szCs w:val="22"/>
        </w:rPr>
        <w:t> Still you have to decide whether you want to rate the BOCR against the main criteria or the subcriteria.</w:t>
      </w:r>
      <w:r>
        <w:rPr>
          <w:rFonts w:ascii="Calibri" w:hAnsi="Calibri" w:cs="Calibri"/>
          <w:color w:val="1F497D"/>
          <w:sz w:val="22"/>
          <w:szCs w:val="22"/>
        </w:rPr>
        <w:t>"</w:t>
      </w:r>
    </w:p>
    <w:p w:rsidR="006B710E" w:rsidRDefault="006B710E" w:rsidP="006A060D">
      <w:pPr>
        <w:spacing w:before="100" w:beforeAutospacing="1" w:after="100" w:afterAutospacing="1"/>
        <w:outlineLvl w:val="3"/>
        <w:rPr>
          <w:sz w:val="24"/>
          <w:szCs w:val="24"/>
        </w:rPr>
      </w:pPr>
      <w:r>
        <w:rPr>
          <w:sz w:val="24"/>
          <w:szCs w:val="24"/>
        </w:rPr>
        <w:t xml:space="preserve">Whether I decided to use the Strategic Criteria or the Strategic Sub-Criteria the ratings do not fully inform my decision. </w:t>
      </w:r>
    </w:p>
    <w:p w:rsidR="006B710E" w:rsidRDefault="006B710E" w:rsidP="006A060D">
      <w:pPr>
        <w:spacing w:before="100" w:beforeAutospacing="1" w:after="100" w:afterAutospacing="1"/>
        <w:outlineLvl w:val="3"/>
        <w:rPr>
          <w:sz w:val="24"/>
          <w:szCs w:val="24"/>
        </w:rPr>
      </w:pPr>
      <w:r w:rsidRPr="0076182E">
        <w:rPr>
          <w:sz w:val="24"/>
          <w:szCs w:val="24"/>
        </w:rPr>
        <w:pict>
          <v:shape id="_x0000_i1026" type="#_x0000_t75" style="width:429.75pt;height:162.75pt">
            <v:imagedata r:id="rId8" o:title=""/>
          </v:shape>
        </w:pict>
      </w:r>
    </w:p>
    <w:p w:rsidR="006B710E" w:rsidRDefault="006B710E" w:rsidP="006A060D">
      <w:pPr>
        <w:spacing w:before="100" w:beforeAutospacing="1" w:after="100" w:afterAutospacing="1"/>
        <w:outlineLvl w:val="3"/>
        <w:rPr>
          <w:sz w:val="24"/>
          <w:szCs w:val="24"/>
        </w:rPr>
      </w:pPr>
      <w:r>
        <w:rPr>
          <w:sz w:val="24"/>
          <w:szCs w:val="24"/>
        </w:rPr>
        <w:t xml:space="preserve">The rating indicate an anomaly however, one of the assumptions entering the decision analysis was that the LBF Corporate office would benefit from any disaster recovery solution. </w:t>
      </w:r>
    </w:p>
    <w:p w:rsidR="006B710E" w:rsidRDefault="006B710E" w:rsidP="006A060D">
      <w:pPr>
        <w:spacing w:before="100" w:beforeAutospacing="1" w:after="100" w:afterAutospacing="1"/>
        <w:outlineLvl w:val="3"/>
        <w:rPr>
          <w:sz w:val="24"/>
          <w:szCs w:val="24"/>
        </w:rPr>
      </w:pPr>
      <w:r>
        <w:rPr>
          <w:sz w:val="24"/>
          <w:szCs w:val="24"/>
        </w:rPr>
        <w:t>The model integrates complex criteria and pair wise comparisons. The subnet for the BOCR are:</w:t>
      </w:r>
    </w:p>
    <w:p w:rsidR="006B710E" w:rsidRDefault="006B710E" w:rsidP="006A060D">
      <w:pPr>
        <w:spacing w:before="100" w:beforeAutospacing="1" w:after="100" w:afterAutospacing="1"/>
        <w:outlineLvl w:val="3"/>
        <w:rPr>
          <w:sz w:val="24"/>
          <w:szCs w:val="24"/>
        </w:rPr>
      </w:pPr>
      <w:r w:rsidRPr="0076182E">
        <w:rPr>
          <w:sz w:val="24"/>
          <w:szCs w:val="24"/>
        </w:rPr>
        <w:pict>
          <v:shape id="_x0000_i1027" type="#_x0000_t75" style="width:251.25pt;height:186pt">
            <v:imagedata r:id="rId9" o:title=""/>
          </v:shape>
        </w:pict>
      </w:r>
    </w:p>
    <w:p w:rsidR="006B710E" w:rsidRDefault="006B710E" w:rsidP="006A060D">
      <w:pPr>
        <w:spacing w:before="100" w:beforeAutospacing="1" w:after="100" w:afterAutospacing="1"/>
        <w:outlineLvl w:val="3"/>
        <w:rPr>
          <w:sz w:val="24"/>
          <w:szCs w:val="24"/>
        </w:rPr>
      </w:pPr>
    </w:p>
    <w:p w:rsidR="006B710E" w:rsidRDefault="006B710E" w:rsidP="0083253B">
      <w:pPr>
        <w:numPr>
          <w:ilvl w:val="0"/>
          <w:numId w:val="8"/>
        </w:numPr>
        <w:spacing w:before="100" w:beforeAutospacing="1" w:after="100" w:afterAutospacing="1"/>
        <w:outlineLvl w:val="3"/>
        <w:rPr>
          <w:sz w:val="24"/>
          <w:szCs w:val="24"/>
        </w:rPr>
      </w:pPr>
      <w:r>
        <w:rPr>
          <w:sz w:val="24"/>
          <w:szCs w:val="24"/>
        </w:rPr>
        <w:t xml:space="preserve">Economic </w:t>
      </w:r>
    </w:p>
    <w:p w:rsidR="006B710E" w:rsidRDefault="006B710E" w:rsidP="0083253B">
      <w:pPr>
        <w:numPr>
          <w:ilvl w:val="0"/>
          <w:numId w:val="8"/>
        </w:numPr>
        <w:spacing w:before="100" w:beforeAutospacing="1" w:after="100" w:afterAutospacing="1"/>
        <w:outlineLvl w:val="3"/>
        <w:rPr>
          <w:sz w:val="24"/>
          <w:szCs w:val="24"/>
        </w:rPr>
      </w:pPr>
      <w:r>
        <w:rPr>
          <w:sz w:val="24"/>
          <w:szCs w:val="24"/>
        </w:rPr>
        <w:t>Political (LBF) = strictly internal L.B. Foster politics between IIT, Corporate and Remote Offices</w:t>
      </w:r>
    </w:p>
    <w:p w:rsidR="006B710E" w:rsidRDefault="006B710E" w:rsidP="0083253B">
      <w:pPr>
        <w:numPr>
          <w:ilvl w:val="0"/>
          <w:numId w:val="8"/>
        </w:numPr>
        <w:spacing w:before="100" w:beforeAutospacing="1" w:after="100" w:afterAutospacing="1"/>
        <w:outlineLvl w:val="3"/>
        <w:rPr>
          <w:sz w:val="24"/>
          <w:szCs w:val="24"/>
        </w:rPr>
      </w:pPr>
      <w:r>
        <w:rPr>
          <w:sz w:val="24"/>
          <w:szCs w:val="24"/>
        </w:rPr>
        <w:t>Sustainability = the extent to which the solution enables LBF to sustain a disaster</w:t>
      </w:r>
    </w:p>
    <w:p w:rsidR="006B710E" w:rsidRDefault="006B710E" w:rsidP="0083253B">
      <w:pPr>
        <w:spacing w:before="100" w:beforeAutospacing="1" w:after="100" w:afterAutospacing="1"/>
        <w:outlineLvl w:val="3"/>
        <w:rPr>
          <w:sz w:val="24"/>
          <w:szCs w:val="24"/>
        </w:rPr>
      </w:pPr>
      <w:r>
        <w:rPr>
          <w:sz w:val="24"/>
          <w:szCs w:val="24"/>
        </w:rPr>
        <w:t>Under each subnet there is an array of criteria including:</w:t>
      </w:r>
    </w:p>
    <w:tbl>
      <w:tblPr>
        <w:tblW w:w="10565" w:type="dxa"/>
        <w:tblInd w:w="-106" w:type="dxa"/>
        <w:tblLook w:val="0000"/>
      </w:tblPr>
      <w:tblGrid>
        <w:gridCol w:w="2440"/>
        <w:gridCol w:w="305"/>
        <w:gridCol w:w="2500"/>
        <w:gridCol w:w="400"/>
        <w:gridCol w:w="2440"/>
        <w:gridCol w:w="340"/>
        <w:gridCol w:w="2140"/>
      </w:tblGrid>
      <w:tr w:rsidR="006B710E" w:rsidRPr="0083253B">
        <w:trPr>
          <w:trHeight w:val="420"/>
        </w:trPr>
        <w:tc>
          <w:tcPr>
            <w:tcW w:w="2440" w:type="dxa"/>
            <w:tcBorders>
              <w:top w:val="nil"/>
              <w:left w:val="nil"/>
              <w:bottom w:val="single" w:sz="8" w:space="0" w:color="auto"/>
              <w:right w:val="nil"/>
            </w:tcBorders>
            <w:noWrap/>
            <w:vAlign w:val="bottom"/>
          </w:tcPr>
          <w:p w:rsidR="006B710E" w:rsidRPr="0083253B" w:rsidRDefault="006B710E" w:rsidP="0083253B">
            <w:pPr>
              <w:rPr>
                <w:rFonts w:ascii="Arial" w:hAnsi="Arial" w:cs="Arial"/>
                <w:color w:val="auto"/>
                <w:kern w:val="0"/>
                <w:sz w:val="32"/>
                <w:szCs w:val="32"/>
              </w:rPr>
            </w:pPr>
            <w:r w:rsidRPr="0083253B">
              <w:rPr>
                <w:rFonts w:ascii="Arial" w:hAnsi="Arial" w:cs="Arial"/>
                <w:color w:val="auto"/>
                <w:kern w:val="0"/>
                <w:sz w:val="32"/>
                <w:szCs w:val="32"/>
              </w:rPr>
              <w:t>Benefits</w:t>
            </w:r>
          </w:p>
        </w:tc>
        <w:tc>
          <w:tcPr>
            <w:tcW w:w="305" w:type="dxa"/>
            <w:tcBorders>
              <w:top w:val="nil"/>
              <w:left w:val="nil"/>
              <w:bottom w:val="single" w:sz="8" w:space="0" w:color="auto"/>
              <w:right w:val="nil"/>
            </w:tcBorders>
            <w:noWrap/>
            <w:vAlign w:val="bottom"/>
          </w:tcPr>
          <w:p w:rsidR="006B710E" w:rsidRPr="0083253B" w:rsidRDefault="006B710E" w:rsidP="0083253B">
            <w:pPr>
              <w:rPr>
                <w:rFonts w:ascii="Arial" w:hAnsi="Arial" w:cs="Arial"/>
                <w:color w:val="auto"/>
                <w:kern w:val="0"/>
                <w:sz w:val="32"/>
                <w:szCs w:val="32"/>
              </w:rPr>
            </w:pPr>
            <w:r w:rsidRPr="0083253B">
              <w:rPr>
                <w:rFonts w:ascii="Arial" w:hAnsi="Arial" w:cs="Arial"/>
                <w:color w:val="auto"/>
                <w:kern w:val="0"/>
                <w:sz w:val="32"/>
                <w:szCs w:val="32"/>
              </w:rPr>
              <w:t> </w:t>
            </w:r>
          </w:p>
        </w:tc>
        <w:tc>
          <w:tcPr>
            <w:tcW w:w="2500" w:type="dxa"/>
            <w:tcBorders>
              <w:top w:val="nil"/>
              <w:left w:val="nil"/>
              <w:bottom w:val="single" w:sz="8" w:space="0" w:color="auto"/>
              <w:right w:val="nil"/>
            </w:tcBorders>
            <w:noWrap/>
            <w:vAlign w:val="bottom"/>
          </w:tcPr>
          <w:p w:rsidR="006B710E" w:rsidRPr="0083253B" w:rsidRDefault="006B710E" w:rsidP="0083253B">
            <w:pPr>
              <w:rPr>
                <w:rFonts w:ascii="Arial" w:hAnsi="Arial" w:cs="Arial"/>
                <w:color w:val="auto"/>
                <w:kern w:val="0"/>
                <w:sz w:val="32"/>
                <w:szCs w:val="32"/>
              </w:rPr>
            </w:pPr>
            <w:r w:rsidRPr="0083253B">
              <w:rPr>
                <w:rFonts w:ascii="Arial" w:hAnsi="Arial" w:cs="Arial"/>
                <w:color w:val="auto"/>
                <w:kern w:val="0"/>
                <w:sz w:val="32"/>
                <w:szCs w:val="32"/>
              </w:rPr>
              <w:t xml:space="preserve">Opportunities </w:t>
            </w:r>
          </w:p>
        </w:tc>
        <w:tc>
          <w:tcPr>
            <w:tcW w:w="400" w:type="dxa"/>
            <w:tcBorders>
              <w:top w:val="nil"/>
              <w:left w:val="nil"/>
              <w:bottom w:val="single" w:sz="8" w:space="0" w:color="auto"/>
              <w:right w:val="nil"/>
            </w:tcBorders>
            <w:noWrap/>
            <w:vAlign w:val="bottom"/>
          </w:tcPr>
          <w:p w:rsidR="006B710E" w:rsidRPr="0083253B" w:rsidRDefault="006B710E" w:rsidP="0083253B">
            <w:pPr>
              <w:rPr>
                <w:rFonts w:ascii="Arial" w:hAnsi="Arial" w:cs="Arial"/>
                <w:color w:val="auto"/>
                <w:kern w:val="0"/>
                <w:sz w:val="32"/>
                <w:szCs w:val="32"/>
              </w:rPr>
            </w:pPr>
            <w:r w:rsidRPr="0083253B">
              <w:rPr>
                <w:rFonts w:ascii="Arial" w:hAnsi="Arial" w:cs="Arial"/>
                <w:color w:val="auto"/>
                <w:kern w:val="0"/>
                <w:sz w:val="32"/>
                <w:szCs w:val="32"/>
              </w:rPr>
              <w:t> </w:t>
            </w:r>
          </w:p>
        </w:tc>
        <w:tc>
          <w:tcPr>
            <w:tcW w:w="2440" w:type="dxa"/>
            <w:tcBorders>
              <w:top w:val="nil"/>
              <w:left w:val="nil"/>
              <w:bottom w:val="single" w:sz="8" w:space="0" w:color="auto"/>
              <w:right w:val="nil"/>
            </w:tcBorders>
            <w:noWrap/>
            <w:vAlign w:val="bottom"/>
          </w:tcPr>
          <w:p w:rsidR="006B710E" w:rsidRPr="0083253B" w:rsidRDefault="006B710E" w:rsidP="0083253B">
            <w:pPr>
              <w:rPr>
                <w:rFonts w:ascii="Arial" w:hAnsi="Arial" w:cs="Arial"/>
                <w:color w:val="auto"/>
                <w:kern w:val="0"/>
                <w:sz w:val="32"/>
                <w:szCs w:val="32"/>
              </w:rPr>
            </w:pPr>
            <w:r w:rsidRPr="0083253B">
              <w:rPr>
                <w:rFonts w:ascii="Arial" w:hAnsi="Arial" w:cs="Arial"/>
                <w:color w:val="auto"/>
                <w:kern w:val="0"/>
                <w:sz w:val="32"/>
                <w:szCs w:val="32"/>
              </w:rPr>
              <w:t xml:space="preserve">Costs </w:t>
            </w:r>
          </w:p>
        </w:tc>
        <w:tc>
          <w:tcPr>
            <w:tcW w:w="340" w:type="dxa"/>
            <w:tcBorders>
              <w:top w:val="nil"/>
              <w:left w:val="nil"/>
              <w:bottom w:val="single" w:sz="8" w:space="0" w:color="auto"/>
              <w:right w:val="nil"/>
            </w:tcBorders>
            <w:noWrap/>
            <w:vAlign w:val="bottom"/>
          </w:tcPr>
          <w:p w:rsidR="006B710E" w:rsidRPr="0083253B" w:rsidRDefault="006B710E" w:rsidP="0083253B">
            <w:pPr>
              <w:rPr>
                <w:rFonts w:ascii="Arial" w:hAnsi="Arial" w:cs="Arial"/>
                <w:color w:val="auto"/>
                <w:kern w:val="0"/>
                <w:sz w:val="32"/>
                <w:szCs w:val="32"/>
              </w:rPr>
            </w:pPr>
            <w:r w:rsidRPr="0083253B">
              <w:rPr>
                <w:rFonts w:ascii="Arial" w:hAnsi="Arial" w:cs="Arial"/>
                <w:color w:val="auto"/>
                <w:kern w:val="0"/>
                <w:sz w:val="32"/>
                <w:szCs w:val="32"/>
              </w:rPr>
              <w:t> </w:t>
            </w:r>
          </w:p>
        </w:tc>
        <w:tc>
          <w:tcPr>
            <w:tcW w:w="2140" w:type="dxa"/>
            <w:tcBorders>
              <w:top w:val="nil"/>
              <w:left w:val="nil"/>
              <w:bottom w:val="single" w:sz="8" w:space="0" w:color="auto"/>
              <w:right w:val="nil"/>
            </w:tcBorders>
            <w:noWrap/>
            <w:vAlign w:val="bottom"/>
          </w:tcPr>
          <w:p w:rsidR="006B710E" w:rsidRPr="0083253B" w:rsidRDefault="006B710E" w:rsidP="0083253B">
            <w:pPr>
              <w:rPr>
                <w:rFonts w:ascii="Arial" w:hAnsi="Arial" w:cs="Arial"/>
                <w:color w:val="auto"/>
                <w:kern w:val="0"/>
                <w:sz w:val="32"/>
                <w:szCs w:val="32"/>
              </w:rPr>
            </w:pPr>
            <w:r w:rsidRPr="0083253B">
              <w:rPr>
                <w:rFonts w:ascii="Arial" w:hAnsi="Arial" w:cs="Arial"/>
                <w:color w:val="auto"/>
                <w:kern w:val="0"/>
                <w:sz w:val="32"/>
                <w:szCs w:val="32"/>
              </w:rPr>
              <w:t>Risks</w:t>
            </w:r>
          </w:p>
        </w:tc>
      </w:tr>
      <w:tr w:rsidR="006B710E" w:rsidRPr="0083253B">
        <w:trPr>
          <w:trHeight w:val="255"/>
        </w:trPr>
        <w:tc>
          <w:tcPr>
            <w:tcW w:w="24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r>
      <w:tr w:rsidR="006B710E" w:rsidRPr="0083253B">
        <w:trPr>
          <w:trHeight w:val="255"/>
        </w:trPr>
        <w:tc>
          <w:tcPr>
            <w:tcW w:w="2440" w:type="dxa"/>
            <w:tcBorders>
              <w:top w:val="single" w:sz="4" w:space="0" w:color="auto"/>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b/>
                <w:bCs/>
                <w:color w:val="auto"/>
                <w:kern w:val="0"/>
              </w:rPr>
            </w:pPr>
            <w:r w:rsidRPr="0083253B">
              <w:rPr>
                <w:rFonts w:ascii="Arial" w:hAnsi="Arial" w:cs="Arial"/>
                <w:b/>
                <w:bCs/>
                <w:color w:val="auto"/>
                <w:kern w:val="0"/>
              </w:rPr>
              <w:t>Economic</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single" w:sz="4" w:space="0" w:color="auto"/>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b/>
                <w:bCs/>
                <w:color w:val="auto"/>
                <w:kern w:val="0"/>
              </w:rPr>
            </w:pPr>
            <w:r w:rsidRPr="0083253B">
              <w:rPr>
                <w:rFonts w:ascii="Arial" w:hAnsi="Arial" w:cs="Arial"/>
                <w:b/>
                <w:bCs/>
                <w:color w:val="auto"/>
                <w:kern w:val="0"/>
              </w:rPr>
              <w:t>Economic</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single" w:sz="4" w:space="0" w:color="auto"/>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b/>
                <w:bCs/>
                <w:color w:val="auto"/>
                <w:kern w:val="0"/>
              </w:rPr>
            </w:pPr>
            <w:r w:rsidRPr="0083253B">
              <w:rPr>
                <w:rFonts w:ascii="Arial" w:hAnsi="Arial" w:cs="Arial"/>
                <w:b/>
                <w:bCs/>
                <w:color w:val="auto"/>
                <w:kern w:val="0"/>
              </w:rPr>
              <w:t>Economic</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single" w:sz="4" w:space="0" w:color="auto"/>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b/>
                <w:bCs/>
                <w:color w:val="auto"/>
                <w:kern w:val="0"/>
              </w:rPr>
            </w:pPr>
            <w:r w:rsidRPr="0083253B">
              <w:rPr>
                <w:rFonts w:ascii="Arial" w:hAnsi="Arial" w:cs="Arial"/>
                <w:b/>
                <w:bCs/>
                <w:color w:val="auto"/>
                <w:kern w:val="0"/>
              </w:rPr>
              <w:t>Economic</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Capital Spending</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Expense Spending</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Capital Spending </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Revenue</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Energy Consumption </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Staffing Expense</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Energy Consumption </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Lost Customers</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Tax Benefit</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Expense Spending</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Lost Staffing (layoffs) </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Staffing Expense</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Staffing Expense</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Lost Data </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Expense Spending</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Operational Cost</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Fines</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Facilities Cost</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Management costs</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b/>
                <w:bCs/>
                <w:color w:val="auto"/>
                <w:kern w:val="0"/>
              </w:rPr>
            </w:pPr>
            <w:r w:rsidRPr="0083253B">
              <w:rPr>
                <w:rFonts w:ascii="Arial" w:hAnsi="Arial" w:cs="Arial"/>
                <w:b/>
                <w:bCs/>
                <w:color w:val="auto"/>
                <w:kern w:val="0"/>
              </w:rPr>
              <w:t>Political</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b/>
                <w:bCs/>
                <w:color w:val="auto"/>
                <w:kern w:val="0"/>
              </w:rPr>
            </w:pPr>
            <w:r w:rsidRPr="0083253B">
              <w:rPr>
                <w:rFonts w:ascii="Arial" w:hAnsi="Arial" w:cs="Arial"/>
                <w:b/>
                <w:bCs/>
                <w:color w:val="auto"/>
                <w:kern w:val="0"/>
              </w:rPr>
              <w:t>Political</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Flexible Technology</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Staffing Levels</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Capacity Usage</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Remote Office Service </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b/>
                <w:bCs/>
                <w:color w:val="auto"/>
                <w:kern w:val="0"/>
              </w:rPr>
            </w:pPr>
            <w:r w:rsidRPr="0083253B">
              <w:rPr>
                <w:rFonts w:ascii="Arial" w:hAnsi="Arial" w:cs="Arial"/>
                <w:b/>
                <w:bCs/>
                <w:color w:val="auto"/>
                <w:kern w:val="0"/>
              </w:rPr>
              <w:t>Political</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b/>
                <w:bCs/>
                <w:color w:val="auto"/>
                <w:kern w:val="0"/>
              </w:rPr>
            </w:pPr>
            <w:r w:rsidRPr="0083253B">
              <w:rPr>
                <w:rFonts w:ascii="Arial" w:hAnsi="Arial" w:cs="Arial"/>
                <w:b/>
                <w:bCs/>
                <w:color w:val="auto"/>
                <w:kern w:val="0"/>
              </w:rPr>
              <w:t>Political</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Remote Office Service </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Staffing Levels</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Reputation </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LBF DR Location </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Remote Office Service </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IT Department Health</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Distributed IT Department </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Security </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b/>
                <w:bCs/>
                <w:color w:val="auto"/>
                <w:kern w:val="0"/>
              </w:rPr>
            </w:pPr>
            <w:r w:rsidRPr="0083253B">
              <w:rPr>
                <w:rFonts w:ascii="Arial" w:hAnsi="Arial" w:cs="Arial"/>
                <w:b/>
                <w:bCs/>
                <w:color w:val="auto"/>
                <w:kern w:val="0"/>
              </w:rPr>
              <w:t xml:space="preserve">Sustainability </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b/>
                <w:bCs/>
                <w:color w:val="auto"/>
                <w:kern w:val="0"/>
              </w:rPr>
            </w:pPr>
            <w:r w:rsidRPr="0083253B">
              <w:rPr>
                <w:rFonts w:ascii="Arial" w:hAnsi="Arial" w:cs="Arial"/>
                <w:b/>
                <w:bCs/>
                <w:color w:val="auto"/>
                <w:kern w:val="0"/>
              </w:rPr>
              <w:t xml:space="preserve">Sustainability </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Regulation </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Data Protection </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Geographic Redundancy </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Geographic Redundancy </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Total System Restoration </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Agility </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Replicated Network </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Scalability </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r>
      <w:tr w:rsidR="006B710E" w:rsidRPr="0083253B">
        <w:trPr>
          <w:trHeight w:val="255"/>
        </w:trPr>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xml:space="preserve">Total System Restoration </w:t>
            </w:r>
          </w:p>
        </w:tc>
        <w:tc>
          <w:tcPr>
            <w:tcW w:w="305"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50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40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4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c>
          <w:tcPr>
            <w:tcW w:w="340" w:type="dxa"/>
            <w:tcBorders>
              <w:top w:val="nil"/>
              <w:left w:val="nil"/>
              <w:bottom w:val="nil"/>
              <w:right w:val="nil"/>
            </w:tcBorders>
            <w:noWrap/>
            <w:vAlign w:val="bottom"/>
          </w:tcPr>
          <w:p w:rsidR="006B710E" w:rsidRPr="0083253B" w:rsidRDefault="006B710E" w:rsidP="0083253B">
            <w:pPr>
              <w:rPr>
                <w:rFonts w:ascii="Arial" w:hAnsi="Arial" w:cs="Arial"/>
                <w:color w:val="auto"/>
                <w:kern w:val="0"/>
              </w:rPr>
            </w:pPr>
          </w:p>
        </w:tc>
        <w:tc>
          <w:tcPr>
            <w:tcW w:w="2140" w:type="dxa"/>
            <w:tcBorders>
              <w:top w:val="nil"/>
              <w:left w:val="single" w:sz="4" w:space="0" w:color="auto"/>
              <w:bottom w:val="single" w:sz="4" w:space="0" w:color="auto"/>
              <w:right w:val="single" w:sz="4" w:space="0" w:color="auto"/>
            </w:tcBorders>
            <w:noWrap/>
            <w:vAlign w:val="bottom"/>
          </w:tcPr>
          <w:p w:rsidR="006B710E" w:rsidRPr="0083253B" w:rsidRDefault="006B710E" w:rsidP="0083253B">
            <w:pPr>
              <w:rPr>
                <w:rFonts w:ascii="Arial" w:hAnsi="Arial" w:cs="Arial"/>
                <w:color w:val="auto"/>
                <w:kern w:val="0"/>
              </w:rPr>
            </w:pPr>
            <w:r w:rsidRPr="0083253B">
              <w:rPr>
                <w:rFonts w:ascii="Arial" w:hAnsi="Arial" w:cs="Arial"/>
                <w:color w:val="auto"/>
                <w:kern w:val="0"/>
              </w:rPr>
              <w:t> </w:t>
            </w:r>
          </w:p>
        </w:tc>
      </w:tr>
    </w:tbl>
    <w:p w:rsidR="006B710E" w:rsidRDefault="006B710E" w:rsidP="0083253B">
      <w:pPr>
        <w:spacing w:before="100" w:beforeAutospacing="1" w:after="100" w:afterAutospacing="1"/>
        <w:outlineLvl w:val="3"/>
        <w:rPr>
          <w:sz w:val="24"/>
          <w:szCs w:val="24"/>
        </w:rPr>
      </w:pPr>
    </w:p>
    <w:p w:rsidR="006B710E" w:rsidRDefault="006B710E" w:rsidP="0083253B">
      <w:pPr>
        <w:spacing w:before="100" w:beforeAutospacing="1" w:after="100" w:afterAutospacing="1"/>
        <w:outlineLvl w:val="3"/>
        <w:rPr>
          <w:sz w:val="24"/>
          <w:szCs w:val="24"/>
        </w:rPr>
      </w:pPr>
      <w:r>
        <w:rPr>
          <w:b/>
          <w:bCs/>
          <w:sz w:val="24"/>
          <w:szCs w:val="24"/>
        </w:rPr>
        <w:t>Final Analysis:</w:t>
      </w:r>
      <w:r>
        <w:rPr>
          <w:sz w:val="24"/>
          <w:szCs w:val="24"/>
        </w:rPr>
        <w:t xml:space="preserve"> In the end the results mirror the Disaster Recovery Industry trend. More and more companies are outsourcing their disaster protection to service providers. The synthesized criteria also disclose my bias towards an L.B. Foster distributed datacenter solution. The extra expense associated with building and maintaining data closets, servers and infrastructure would be offset by the influx of IT employees and the skills they bring (very much needed in the LBF IT department). Housing the backup solution would also have the most benefit for the remote offices providing better technology performance and developing good will with our newly absorbed remote locations. </w:t>
      </w:r>
    </w:p>
    <w:p w:rsidR="006B710E" w:rsidRDefault="006B710E" w:rsidP="0083253B">
      <w:pPr>
        <w:spacing w:before="100" w:beforeAutospacing="1" w:after="100" w:afterAutospacing="1"/>
        <w:outlineLvl w:val="3"/>
        <w:rPr>
          <w:sz w:val="24"/>
          <w:szCs w:val="24"/>
        </w:rPr>
      </w:pPr>
      <w:r>
        <w:rPr>
          <w:sz w:val="24"/>
          <w:szCs w:val="24"/>
        </w:rPr>
        <w:t xml:space="preserve">Still the analysis is clear, the model indicates the DR Service w/Leased Equipment is the way to precede. The Benefits (Economic, Political and Sustainability) all indicate the Leased Equipment is optimal. </w:t>
      </w:r>
    </w:p>
    <w:p w:rsidR="006B710E" w:rsidRPr="008135C2" w:rsidRDefault="006B710E" w:rsidP="0083253B">
      <w:pPr>
        <w:spacing w:before="100" w:beforeAutospacing="1" w:after="100" w:afterAutospacing="1"/>
        <w:outlineLvl w:val="3"/>
        <w:rPr>
          <w:sz w:val="24"/>
          <w:szCs w:val="24"/>
        </w:rPr>
      </w:pPr>
      <w:r>
        <w:rPr>
          <w:sz w:val="24"/>
          <w:szCs w:val="24"/>
        </w:rPr>
        <w:t xml:space="preserve">As I suspected the Political and Sustainability Opportunities are highest for the LBF Distributed DataCenter Solution, but the Leased Equipment option still has the highest Economic Opportunity. </w:t>
      </w:r>
    </w:p>
    <w:p w:rsidR="006B710E" w:rsidRDefault="006B710E" w:rsidP="0083253B">
      <w:pPr>
        <w:spacing w:before="100" w:beforeAutospacing="1" w:after="100" w:afterAutospacing="1"/>
        <w:outlineLvl w:val="3"/>
        <w:rPr>
          <w:sz w:val="24"/>
          <w:szCs w:val="24"/>
        </w:rPr>
      </w:pPr>
      <w:r>
        <w:rPr>
          <w:sz w:val="24"/>
          <w:szCs w:val="24"/>
        </w:rPr>
        <w:t xml:space="preserve">For some reason the model correctly identifies the Political Costs of the LBF DataCenter as appropriately high, but incorrectly identifies the Leased Equipment option as the highest Economic Costs. In reality the Leased Equipment Costs would literally be the least expensive monetarily and likely the least expensive in practical purposes as well. </w:t>
      </w:r>
    </w:p>
    <w:p w:rsidR="006B710E" w:rsidRDefault="006B710E" w:rsidP="0083253B">
      <w:pPr>
        <w:spacing w:before="100" w:beforeAutospacing="1" w:after="100" w:afterAutospacing="1"/>
        <w:outlineLvl w:val="3"/>
        <w:rPr>
          <w:sz w:val="24"/>
          <w:szCs w:val="24"/>
        </w:rPr>
      </w:pPr>
      <w:r>
        <w:rPr>
          <w:sz w:val="24"/>
          <w:szCs w:val="24"/>
        </w:rPr>
        <w:t xml:space="preserve">As indicated below the Leased Equipment Risks criteria indicate the Economic and Political risks are high, but the LBF Corporate Risk Tolerance is very high as well. Concidering the potential threat for L.B. Foster’s Corporate datacenter is very low means we (LBF) are comfortable with the level of risk inherent to the Leased Equipment solution. </w:t>
      </w:r>
    </w:p>
    <w:p w:rsidR="006B710E" w:rsidRDefault="006B710E" w:rsidP="0083253B">
      <w:pPr>
        <w:spacing w:before="100" w:beforeAutospacing="1" w:after="100" w:afterAutospacing="1"/>
        <w:outlineLvl w:val="3"/>
        <w:rPr>
          <w:sz w:val="24"/>
          <w:szCs w:val="24"/>
        </w:rPr>
      </w:pPr>
    </w:p>
    <w:p w:rsidR="006B710E" w:rsidRDefault="006B710E" w:rsidP="0083253B">
      <w:pPr>
        <w:spacing w:before="100" w:beforeAutospacing="1" w:after="100" w:afterAutospacing="1"/>
        <w:outlineLvl w:val="3"/>
        <w:rPr>
          <w:sz w:val="24"/>
          <w:szCs w:val="24"/>
        </w:rPr>
      </w:pPr>
      <w:r>
        <w:rPr>
          <w:sz w:val="24"/>
          <w:szCs w:val="24"/>
        </w:rPr>
        <w:t>Synthesized Criteria Priorities: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1"/>
        <w:gridCol w:w="4523"/>
      </w:tblGrid>
      <w:tr w:rsidR="006B710E">
        <w:tc>
          <w:tcPr>
            <w:tcW w:w="4541" w:type="dxa"/>
          </w:tcPr>
          <w:p w:rsidR="006B710E" w:rsidRPr="004B2F09" w:rsidRDefault="006B710E" w:rsidP="004B2F09">
            <w:pPr>
              <w:spacing w:before="100" w:beforeAutospacing="1" w:after="100" w:afterAutospacing="1"/>
              <w:outlineLvl w:val="3"/>
              <w:rPr>
                <w:sz w:val="24"/>
                <w:szCs w:val="24"/>
              </w:rPr>
            </w:pPr>
            <w:r w:rsidRPr="004B2F09">
              <w:rPr>
                <w:sz w:val="24"/>
                <w:szCs w:val="24"/>
              </w:rPr>
              <w:pict>
                <v:shape id="_x0000_i1028" type="#_x0000_t75" style="width:227.25pt;height:126pt">
                  <v:imagedata r:id="rId10" o:title=""/>
                </v:shape>
              </w:pict>
            </w:r>
          </w:p>
        </w:tc>
        <w:tc>
          <w:tcPr>
            <w:tcW w:w="4315" w:type="dxa"/>
          </w:tcPr>
          <w:p w:rsidR="006B710E" w:rsidRPr="004B2F09" w:rsidRDefault="006B710E" w:rsidP="004B2F09">
            <w:pPr>
              <w:spacing w:before="100" w:beforeAutospacing="1" w:after="100" w:afterAutospacing="1"/>
              <w:outlineLvl w:val="3"/>
              <w:rPr>
                <w:sz w:val="24"/>
                <w:szCs w:val="24"/>
              </w:rPr>
            </w:pPr>
            <w:r w:rsidRPr="004B2F09">
              <w:rPr>
                <w:sz w:val="24"/>
                <w:szCs w:val="24"/>
              </w:rPr>
              <w:pict>
                <v:shape id="_x0000_i1029" type="#_x0000_t75" style="width:211.5pt;height:123.75pt">
                  <v:imagedata r:id="rId11" o:title=""/>
                </v:shape>
              </w:pict>
            </w:r>
          </w:p>
        </w:tc>
      </w:tr>
      <w:tr w:rsidR="006B710E">
        <w:tc>
          <w:tcPr>
            <w:tcW w:w="4541" w:type="dxa"/>
          </w:tcPr>
          <w:p w:rsidR="006B710E" w:rsidRPr="004B2F09" w:rsidRDefault="006B710E" w:rsidP="004B2F09">
            <w:pPr>
              <w:spacing w:before="100" w:beforeAutospacing="1" w:after="100" w:afterAutospacing="1"/>
              <w:outlineLvl w:val="3"/>
              <w:rPr>
                <w:sz w:val="24"/>
                <w:szCs w:val="24"/>
              </w:rPr>
            </w:pPr>
            <w:r w:rsidRPr="004B2F09">
              <w:rPr>
                <w:sz w:val="24"/>
                <w:szCs w:val="24"/>
              </w:rPr>
              <w:pict>
                <v:shape id="_x0000_i1030" type="#_x0000_t75" style="width:225pt;height:2in">
                  <v:imagedata r:id="rId12" o:title=""/>
                </v:shape>
              </w:pict>
            </w:r>
          </w:p>
        </w:tc>
        <w:tc>
          <w:tcPr>
            <w:tcW w:w="4315" w:type="dxa"/>
          </w:tcPr>
          <w:p w:rsidR="006B710E" w:rsidRPr="004B2F09" w:rsidRDefault="006B710E" w:rsidP="004B2F09">
            <w:pPr>
              <w:spacing w:before="100" w:beforeAutospacing="1" w:after="100" w:afterAutospacing="1"/>
              <w:outlineLvl w:val="3"/>
              <w:rPr>
                <w:sz w:val="24"/>
                <w:szCs w:val="24"/>
              </w:rPr>
            </w:pPr>
            <w:r w:rsidRPr="004B2F09">
              <w:rPr>
                <w:sz w:val="24"/>
                <w:szCs w:val="24"/>
              </w:rPr>
              <w:pict>
                <v:shape id="_x0000_i1031" type="#_x0000_t75" style="width:215.25pt;height:2in">
                  <v:imagedata r:id="rId13" o:title=""/>
                </v:shape>
              </w:pict>
            </w:r>
          </w:p>
        </w:tc>
      </w:tr>
      <w:tr w:rsidR="006B710E">
        <w:tc>
          <w:tcPr>
            <w:tcW w:w="4541" w:type="dxa"/>
          </w:tcPr>
          <w:p w:rsidR="006B710E" w:rsidRPr="004B2F09" w:rsidRDefault="006B710E" w:rsidP="004B2F09">
            <w:pPr>
              <w:spacing w:before="100" w:beforeAutospacing="1" w:after="100" w:afterAutospacing="1"/>
              <w:outlineLvl w:val="3"/>
              <w:rPr>
                <w:sz w:val="24"/>
                <w:szCs w:val="24"/>
              </w:rPr>
            </w:pPr>
            <w:r w:rsidRPr="004B2F09">
              <w:rPr>
                <w:sz w:val="24"/>
                <w:szCs w:val="24"/>
              </w:rPr>
              <w:pict>
                <v:shape id="_x0000_i1032" type="#_x0000_t75" style="width:219.75pt;height:141pt">
                  <v:imagedata r:id="rId14" o:title=""/>
                </v:shape>
              </w:pict>
            </w:r>
          </w:p>
        </w:tc>
        <w:tc>
          <w:tcPr>
            <w:tcW w:w="4315" w:type="dxa"/>
          </w:tcPr>
          <w:p w:rsidR="006B710E" w:rsidRPr="004B2F09" w:rsidRDefault="006B710E" w:rsidP="004B2F09">
            <w:pPr>
              <w:spacing w:before="100" w:beforeAutospacing="1" w:after="100" w:afterAutospacing="1"/>
              <w:outlineLvl w:val="3"/>
              <w:rPr>
                <w:sz w:val="24"/>
                <w:szCs w:val="24"/>
              </w:rPr>
            </w:pPr>
            <w:r w:rsidRPr="004B2F09">
              <w:rPr>
                <w:sz w:val="24"/>
                <w:szCs w:val="24"/>
              </w:rPr>
              <w:pict>
                <v:shape id="_x0000_i1033" type="#_x0000_t75" style="width:211.5pt;height:141pt">
                  <v:imagedata r:id="rId15" o:title=""/>
                </v:shape>
              </w:pict>
            </w:r>
          </w:p>
        </w:tc>
      </w:tr>
      <w:tr w:rsidR="006B710E">
        <w:tc>
          <w:tcPr>
            <w:tcW w:w="4541" w:type="dxa"/>
          </w:tcPr>
          <w:p w:rsidR="006B710E" w:rsidRPr="004B2F09" w:rsidRDefault="006B710E" w:rsidP="004B2F09">
            <w:pPr>
              <w:spacing w:before="100" w:beforeAutospacing="1" w:after="100" w:afterAutospacing="1"/>
              <w:outlineLvl w:val="3"/>
              <w:rPr>
                <w:sz w:val="24"/>
                <w:szCs w:val="24"/>
              </w:rPr>
            </w:pPr>
            <w:r w:rsidRPr="004B2F09">
              <w:rPr>
                <w:sz w:val="24"/>
                <w:szCs w:val="24"/>
              </w:rPr>
              <w:pict>
                <v:shape id="_x0000_i1034" type="#_x0000_t75" style="width:215.25pt;height:123.75pt">
                  <v:imagedata r:id="rId16" o:title=""/>
                </v:shape>
              </w:pict>
            </w:r>
          </w:p>
        </w:tc>
        <w:tc>
          <w:tcPr>
            <w:tcW w:w="4315" w:type="dxa"/>
          </w:tcPr>
          <w:p w:rsidR="006B710E" w:rsidRPr="004B2F09" w:rsidRDefault="006B710E" w:rsidP="004B2F09">
            <w:pPr>
              <w:spacing w:before="100" w:beforeAutospacing="1" w:after="100" w:afterAutospacing="1"/>
              <w:outlineLvl w:val="3"/>
              <w:rPr>
                <w:sz w:val="24"/>
                <w:szCs w:val="24"/>
              </w:rPr>
            </w:pPr>
            <w:r w:rsidRPr="004B2F09">
              <w:rPr>
                <w:sz w:val="24"/>
                <w:szCs w:val="24"/>
              </w:rPr>
              <w:pict>
                <v:shape id="_x0000_i1035" type="#_x0000_t75" style="width:207.75pt;height:122.25pt">
                  <v:imagedata r:id="rId17" o:title=""/>
                </v:shape>
              </w:pict>
            </w:r>
          </w:p>
        </w:tc>
      </w:tr>
      <w:tr w:rsidR="006B710E">
        <w:tc>
          <w:tcPr>
            <w:tcW w:w="4541" w:type="dxa"/>
          </w:tcPr>
          <w:p w:rsidR="006B710E" w:rsidRPr="004B2F09" w:rsidRDefault="006B710E" w:rsidP="004B2F09">
            <w:pPr>
              <w:spacing w:before="100" w:beforeAutospacing="1" w:after="100" w:afterAutospacing="1"/>
              <w:outlineLvl w:val="3"/>
              <w:rPr>
                <w:sz w:val="24"/>
                <w:szCs w:val="24"/>
              </w:rPr>
            </w:pPr>
            <w:r w:rsidRPr="004B2F09">
              <w:rPr>
                <w:sz w:val="24"/>
                <w:szCs w:val="24"/>
              </w:rPr>
              <w:pict>
                <v:shape id="_x0000_i1036" type="#_x0000_t75" style="width:229.5pt;height:124.5pt">
                  <v:imagedata r:id="rId18" o:title=""/>
                </v:shape>
              </w:pict>
            </w:r>
          </w:p>
        </w:tc>
        <w:tc>
          <w:tcPr>
            <w:tcW w:w="4315" w:type="dxa"/>
          </w:tcPr>
          <w:p w:rsidR="006B710E" w:rsidRPr="004B2F09" w:rsidRDefault="006B710E" w:rsidP="004B2F09">
            <w:pPr>
              <w:spacing w:before="100" w:beforeAutospacing="1" w:after="100" w:afterAutospacing="1"/>
              <w:outlineLvl w:val="3"/>
              <w:rPr>
                <w:sz w:val="24"/>
                <w:szCs w:val="24"/>
              </w:rPr>
            </w:pPr>
            <w:r w:rsidRPr="004B2F09">
              <w:rPr>
                <w:sz w:val="24"/>
                <w:szCs w:val="24"/>
              </w:rPr>
              <w:pict>
                <v:shape id="_x0000_i1037" type="#_x0000_t75" style="width:207.75pt;height:121.5pt">
                  <v:imagedata r:id="rId19" o:title=""/>
                </v:shape>
              </w:pict>
            </w:r>
          </w:p>
        </w:tc>
      </w:tr>
    </w:tbl>
    <w:p w:rsidR="006B710E" w:rsidRDefault="006B710E" w:rsidP="0083253B">
      <w:pPr>
        <w:spacing w:before="100" w:beforeAutospacing="1" w:after="100" w:afterAutospacing="1"/>
        <w:outlineLvl w:val="3"/>
        <w:rPr>
          <w:sz w:val="24"/>
          <w:szCs w:val="24"/>
        </w:rPr>
      </w:pPr>
      <w:r>
        <w:rPr>
          <w:sz w:val="24"/>
          <w:szCs w:val="24"/>
        </w:rPr>
        <w:t>Synthesized Alternative Priorities: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B710E">
        <w:tc>
          <w:tcPr>
            <w:tcW w:w="8856" w:type="dxa"/>
          </w:tcPr>
          <w:p w:rsidR="006B710E" w:rsidRPr="004B2F09" w:rsidRDefault="006B710E" w:rsidP="004B2F09">
            <w:pPr>
              <w:spacing w:before="100" w:beforeAutospacing="1" w:after="100" w:afterAutospacing="1"/>
              <w:jc w:val="center"/>
              <w:outlineLvl w:val="3"/>
              <w:rPr>
                <w:sz w:val="24"/>
                <w:szCs w:val="24"/>
              </w:rPr>
            </w:pPr>
            <w:r w:rsidRPr="004B2F09">
              <w:rPr>
                <w:sz w:val="24"/>
                <w:szCs w:val="24"/>
              </w:rPr>
              <w:pict>
                <v:shape id="_x0000_i1038" type="#_x0000_t75" style="width:384pt;height:153.75pt">
                  <v:imagedata r:id="rId20" o:title=""/>
                </v:shape>
              </w:pict>
            </w:r>
          </w:p>
        </w:tc>
      </w:tr>
      <w:tr w:rsidR="006B710E">
        <w:tc>
          <w:tcPr>
            <w:tcW w:w="8856" w:type="dxa"/>
          </w:tcPr>
          <w:p w:rsidR="006B710E" w:rsidRPr="004B2F09" w:rsidRDefault="006B710E" w:rsidP="004B2F09">
            <w:pPr>
              <w:spacing w:before="100" w:beforeAutospacing="1" w:after="100" w:afterAutospacing="1"/>
              <w:jc w:val="center"/>
              <w:outlineLvl w:val="3"/>
              <w:rPr>
                <w:sz w:val="24"/>
                <w:szCs w:val="24"/>
              </w:rPr>
            </w:pPr>
          </w:p>
        </w:tc>
      </w:tr>
      <w:tr w:rsidR="006B710E">
        <w:tc>
          <w:tcPr>
            <w:tcW w:w="8856" w:type="dxa"/>
          </w:tcPr>
          <w:p w:rsidR="006B710E" w:rsidRPr="004B2F09" w:rsidRDefault="006B710E" w:rsidP="004B2F09">
            <w:pPr>
              <w:spacing w:before="100" w:beforeAutospacing="1" w:after="100" w:afterAutospacing="1"/>
              <w:jc w:val="center"/>
              <w:outlineLvl w:val="3"/>
              <w:rPr>
                <w:sz w:val="24"/>
                <w:szCs w:val="24"/>
              </w:rPr>
            </w:pPr>
            <w:r w:rsidRPr="004B2F09">
              <w:rPr>
                <w:sz w:val="24"/>
                <w:szCs w:val="24"/>
              </w:rPr>
              <w:pict>
                <v:shape id="_x0000_i1039" type="#_x0000_t75" style="width:381.75pt;height:151.5pt">
                  <v:imagedata r:id="rId21" o:title=""/>
                </v:shape>
              </w:pict>
            </w:r>
          </w:p>
        </w:tc>
      </w:tr>
      <w:tr w:rsidR="006B710E">
        <w:tc>
          <w:tcPr>
            <w:tcW w:w="8856" w:type="dxa"/>
          </w:tcPr>
          <w:p w:rsidR="006B710E" w:rsidRPr="004B2F09" w:rsidRDefault="006B710E" w:rsidP="004B2F09">
            <w:pPr>
              <w:spacing w:before="100" w:beforeAutospacing="1" w:after="100" w:afterAutospacing="1"/>
              <w:outlineLvl w:val="3"/>
              <w:rPr>
                <w:sz w:val="24"/>
                <w:szCs w:val="24"/>
              </w:rPr>
            </w:pPr>
          </w:p>
        </w:tc>
      </w:tr>
      <w:tr w:rsidR="006B710E">
        <w:tc>
          <w:tcPr>
            <w:tcW w:w="8856" w:type="dxa"/>
          </w:tcPr>
          <w:p w:rsidR="006B710E" w:rsidRPr="004B2F09" w:rsidRDefault="006B710E" w:rsidP="004B2F09">
            <w:pPr>
              <w:spacing w:before="100" w:beforeAutospacing="1" w:after="100" w:afterAutospacing="1"/>
              <w:jc w:val="center"/>
              <w:outlineLvl w:val="3"/>
              <w:rPr>
                <w:sz w:val="24"/>
                <w:szCs w:val="24"/>
              </w:rPr>
            </w:pPr>
            <w:r w:rsidRPr="004B2F09">
              <w:rPr>
                <w:sz w:val="24"/>
                <w:szCs w:val="24"/>
              </w:rPr>
              <w:pict>
                <v:shape id="_x0000_i1040" type="#_x0000_t75" style="width:392.25pt;height:161.25pt">
                  <v:imagedata r:id="rId22" o:title=""/>
                </v:shape>
              </w:pict>
            </w:r>
          </w:p>
        </w:tc>
      </w:tr>
      <w:tr w:rsidR="006B710E">
        <w:tc>
          <w:tcPr>
            <w:tcW w:w="8856" w:type="dxa"/>
          </w:tcPr>
          <w:p w:rsidR="006B710E" w:rsidRPr="004B2F09" w:rsidRDefault="006B710E" w:rsidP="004B2F09">
            <w:pPr>
              <w:spacing w:before="100" w:beforeAutospacing="1" w:after="100" w:afterAutospacing="1"/>
              <w:outlineLvl w:val="3"/>
              <w:rPr>
                <w:sz w:val="24"/>
                <w:szCs w:val="24"/>
              </w:rPr>
            </w:pPr>
          </w:p>
        </w:tc>
      </w:tr>
      <w:tr w:rsidR="006B710E">
        <w:tc>
          <w:tcPr>
            <w:tcW w:w="8856" w:type="dxa"/>
          </w:tcPr>
          <w:p w:rsidR="006B710E" w:rsidRPr="004B2F09" w:rsidRDefault="006B710E" w:rsidP="004B2F09">
            <w:pPr>
              <w:spacing w:before="100" w:beforeAutospacing="1" w:after="100" w:afterAutospacing="1"/>
              <w:jc w:val="center"/>
              <w:outlineLvl w:val="3"/>
              <w:rPr>
                <w:sz w:val="24"/>
                <w:szCs w:val="24"/>
              </w:rPr>
            </w:pPr>
            <w:r w:rsidRPr="004B2F09">
              <w:rPr>
                <w:sz w:val="24"/>
                <w:szCs w:val="24"/>
              </w:rPr>
              <w:pict>
                <v:shape id="_x0000_i1041" type="#_x0000_t75" style="width:391.5pt;height:142.5pt">
                  <v:imagedata r:id="rId23" o:title=""/>
                </v:shape>
              </w:pict>
            </w:r>
          </w:p>
        </w:tc>
      </w:tr>
      <w:tr w:rsidR="006B710E">
        <w:tc>
          <w:tcPr>
            <w:tcW w:w="8856" w:type="dxa"/>
          </w:tcPr>
          <w:p w:rsidR="006B710E" w:rsidRPr="004B2F09" w:rsidRDefault="006B710E" w:rsidP="004B2F09">
            <w:pPr>
              <w:spacing w:before="100" w:beforeAutospacing="1" w:after="100" w:afterAutospacing="1"/>
              <w:outlineLvl w:val="3"/>
              <w:rPr>
                <w:sz w:val="24"/>
                <w:szCs w:val="24"/>
              </w:rPr>
            </w:pPr>
          </w:p>
        </w:tc>
      </w:tr>
    </w:tbl>
    <w:p w:rsidR="006B710E" w:rsidRDefault="006B710E" w:rsidP="0083253B">
      <w:pPr>
        <w:spacing w:before="100" w:beforeAutospacing="1" w:after="100" w:afterAutospacing="1"/>
        <w:outlineLvl w:val="3"/>
        <w:rPr>
          <w:sz w:val="24"/>
          <w:szCs w:val="24"/>
        </w:rPr>
      </w:pPr>
    </w:p>
    <w:p w:rsidR="006B710E" w:rsidRDefault="006B710E" w:rsidP="0083253B">
      <w:pPr>
        <w:spacing w:before="100" w:beforeAutospacing="1" w:after="100" w:afterAutospacing="1"/>
        <w:outlineLvl w:val="3"/>
        <w:rPr>
          <w:sz w:val="24"/>
          <w:szCs w:val="24"/>
        </w:rPr>
      </w:pPr>
    </w:p>
    <w:p w:rsidR="006B710E" w:rsidRDefault="006B710E" w:rsidP="0083253B">
      <w:pPr>
        <w:spacing w:before="100" w:beforeAutospacing="1" w:after="100" w:afterAutospacing="1"/>
        <w:outlineLvl w:val="3"/>
        <w:rPr>
          <w:sz w:val="24"/>
          <w:szCs w:val="24"/>
        </w:rPr>
      </w:pPr>
    </w:p>
    <w:p w:rsidR="006B710E" w:rsidRDefault="006B710E" w:rsidP="0083253B">
      <w:pPr>
        <w:spacing w:before="100" w:beforeAutospacing="1" w:after="100" w:afterAutospacing="1"/>
        <w:outlineLvl w:val="3"/>
        <w:rPr>
          <w:sz w:val="24"/>
          <w:szCs w:val="24"/>
        </w:rPr>
      </w:pPr>
    </w:p>
    <w:p w:rsidR="006B710E" w:rsidRDefault="006B710E" w:rsidP="0083253B">
      <w:pPr>
        <w:spacing w:before="100" w:beforeAutospacing="1" w:after="100" w:afterAutospacing="1"/>
        <w:outlineLvl w:val="3"/>
        <w:rPr>
          <w:sz w:val="24"/>
          <w:szCs w:val="24"/>
        </w:rPr>
      </w:pPr>
    </w:p>
    <w:p w:rsidR="006B710E" w:rsidRDefault="006B710E" w:rsidP="0083253B">
      <w:pPr>
        <w:spacing w:before="100" w:beforeAutospacing="1" w:after="100" w:afterAutospacing="1"/>
        <w:outlineLvl w:val="3"/>
        <w:rPr>
          <w:sz w:val="24"/>
          <w:szCs w:val="24"/>
        </w:rPr>
      </w:pPr>
      <w:r>
        <w:rPr>
          <w:sz w:val="24"/>
          <w:szCs w:val="24"/>
        </w:rPr>
        <w:t>Sensitivity Analysis: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8"/>
        <w:gridCol w:w="4731"/>
      </w:tblGrid>
      <w:tr w:rsidR="006B710E">
        <w:tc>
          <w:tcPr>
            <w:tcW w:w="4428" w:type="dxa"/>
          </w:tcPr>
          <w:p w:rsidR="006B710E" w:rsidRPr="004B2F09" w:rsidRDefault="006B710E" w:rsidP="004B2F09">
            <w:pPr>
              <w:spacing w:before="100" w:beforeAutospacing="1" w:after="100" w:afterAutospacing="1"/>
              <w:outlineLvl w:val="3"/>
              <w:rPr>
                <w:sz w:val="24"/>
                <w:szCs w:val="24"/>
              </w:rPr>
            </w:pPr>
            <w:r w:rsidRPr="004B2F09">
              <w:rPr>
                <w:sz w:val="24"/>
                <w:szCs w:val="24"/>
              </w:rPr>
              <w:pict>
                <v:shape id="_x0000_i1042" type="#_x0000_t75" style="width:3in;height:463.5pt">
                  <v:imagedata r:id="rId24" o:title=""/>
                </v:shape>
              </w:pict>
            </w:r>
          </w:p>
        </w:tc>
        <w:tc>
          <w:tcPr>
            <w:tcW w:w="4428" w:type="dxa"/>
          </w:tcPr>
          <w:p w:rsidR="006B710E" w:rsidRPr="004B2F09" w:rsidRDefault="006B710E" w:rsidP="004B2F09">
            <w:pPr>
              <w:spacing w:before="100" w:beforeAutospacing="1" w:after="100" w:afterAutospacing="1"/>
              <w:outlineLvl w:val="3"/>
              <w:rPr>
                <w:sz w:val="24"/>
                <w:szCs w:val="24"/>
              </w:rPr>
            </w:pPr>
            <w:r w:rsidRPr="004B2F09">
              <w:rPr>
                <w:sz w:val="24"/>
                <w:szCs w:val="24"/>
              </w:rPr>
              <w:pict>
                <v:shape id="_x0000_i1043" type="#_x0000_t75" style="width:225.75pt;height:463.5pt">
                  <v:imagedata r:id="rId25" o:title=""/>
                </v:shape>
              </w:pict>
            </w:r>
          </w:p>
        </w:tc>
      </w:tr>
      <w:tr w:rsidR="006B710E">
        <w:tc>
          <w:tcPr>
            <w:tcW w:w="4428" w:type="dxa"/>
          </w:tcPr>
          <w:p w:rsidR="006B710E" w:rsidRPr="004B2F09" w:rsidRDefault="006B710E" w:rsidP="004B2F09">
            <w:pPr>
              <w:spacing w:before="100" w:beforeAutospacing="1" w:after="100" w:afterAutospacing="1"/>
              <w:outlineLvl w:val="3"/>
              <w:rPr>
                <w:sz w:val="24"/>
                <w:szCs w:val="24"/>
              </w:rPr>
            </w:pPr>
          </w:p>
        </w:tc>
        <w:tc>
          <w:tcPr>
            <w:tcW w:w="4428" w:type="dxa"/>
          </w:tcPr>
          <w:p w:rsidR="006B710E" w:rsidRPr="004B2F09" w:rsidRDefault="006B710E" w:rsidP="004B2F09">
            <w:pPr>
              <w:spacing w:before="100" w:beforeAutospacing="1" w:after="100" w:afterAutospacing="1"/>
              <w:outlineLvl w:val="3"/>
              <w:rPr>
                <w:sz w:val="24"/>
                <w:szCs w:val="24"/>
              </w:rPr>
            </w:pPr>
          </w:p>
        </w:tc>
      </w:tr>
      <w:tr w:rsidR="006B710E">
        <w:tc>
          <w:tcPr>
            <w:tcW w:w="4428" w:type="dxa"/>
          </w:tcPr>
          <w:p w:rsidR="006B710E" w:rsidRPr="004B2F09" w:rsidRDefault="006B710E" w:rsidP="004B2F09">
            <w:pPr>
              <w:spacing w:before="100" w:beforeAutospacing="1" w:after="100" w:afterAutospacing="1"/>
              <w:outlineLvl w:val="3"/>
              <w:rPr>
                <w:sz w:val="24"/>
                <w:szCs w:val="24"/>
              </w:rPr>
            </w:pPr>
            <w:r w:rsidRPr="004B2F09">
              <w:rPr>
                <w:sz w:val="24"/>
                <w:szCs w:val="24"/>
              </w:rPr>
              <w:pict>
                <v:shape id="_x0000_i1044" type="#_x0000_t75" style="width:213pt;height:463.5pt">
                  <v:imagedata r:id="rId26" o:title=""/>
                </v:shape>
              </w:pict>
            </w:r>
          </w:p>
        </w:tc>
        <w:tc>
          <w:tcPr>
            <w:tcW w:w="4428" w:type="dxa"/>
          </w:tcPr>
          <w:p w:rsidR="006B710E" w:rsidRPr="004B2F09" w:rsidRDefault="006B710E" w:rsidP="004B2F09">
            <w:pPr>
              <w:spacing w:before="100" w:beforeAutospacing="1" w:after="100" w:afterAutospacing="1"/>
              <w:outlineLvl w:val="3"/>
              <w:rPr>
                <w:sz w:val="24"/>
                <w:szCs w:val="24"/>
              </w:rPr>
            </w:pPr>
            <w:r w:rsidRPr="004B2F09">
              <w:rPr>
                <w:sz w:val="24"/>
                <w:szCs w:val="24"/>
              </w:rPr>
              <w:pict>
                <v:shape id="_x0000_i1045" type="#_x0000_t75" style="width:3in;height:463.5pt">
                  <v:imagedata r:id="rId27" o:title=""/>
                </v:shape>
              </w:pict>
            </w:r>
          </w:p>
        </w:tc>
      </w:tr>
      <w:tr w:rsidR="006B710E">
        <w:tc>
          <w:tcPr>
            <w:tcW w:w="4428" w:type="dxa"/>
          </w:tcPr>
          <w:p w:rsidR="006B710E" w:rsidRPr="004B2F09" w:rsidRDefault="006B710E" w:rsidP="004B2F09">
            <w:pPr>
              <w:spacing w:before="100" w:beforeAutospacing="1" w:after="100" w:afterAutospacing="1"/>
              <w:outlineLvl w:val="3"/>
              <w:rPr>
                <w:sz w:val="24"/>
                <w:szCs w:val="24"/>
              </w:rPr>
            </w:pPr>
          </w:p>
        </w:tc>
        <w:tc>
          <w:tcPr>
            <w:tcW w:w="4428" w:type="dxa"/>
          </w:tcPr>
          <w:p w:rsidR="006B710E" w:rsidRPr="004B2F09" w:rsidRDefault="006B710E" w:rsidP="004B2F09">
            <w:pPr>
              <w:spacing w:before="100" w:beforeAutospacing="1" w:after="100" w:afterAutospacing="1"/>
              <w:outlineLvl w:val="3"/>
              <w:rPr>
                <w:sz w:val="24"/>
                <w:szCs w:val="24"/>
              </w:rPr>
            </w:pPr>
          </w:p>
        </w:tc>
      </w:tr>
    </w:tbl>
    <w:p w:rsidR="006B710E" w:rsidRDefault="006B710E" w:rsidP="0083253B">
      <w:pPr>
        <w:spacing w:before="100" w:beforeAutospacing="1" w:after="100" w:afterAutospacing="1"/>
        <w:outlineLvl w:val="3"/>
      </w:pPr>
      <w:bookmarkStart w:id="0" w:name="_PictureBullets"/>
    </w:p>
    <w:p w:rsidR="006B710E" w:rsidRDefault="006B710E" w:rsidP="0083253B">
      <w:pPr>
        <w:spacing w:before="100" w:beforeAutospacing="1" w:after="100" w:afterAutospacing="1"/>
        <w:outlineLvl w:val="3"/>
        <w:rPr>
          <w:b/>
          <w:bCs/>
          <w:sz w:val="24"/>
          <w:szCs w:val="24"/>
        </w:rPr>
      </w:pPr>
    </w:p>
    <w:p w:rsidR="006B710E" w:rsidRDefault="006B710E" w:rsidP="0083253B">
      <w:pPr>
        <w:spacing w:before="100" w:beforeAutospacing="1" w:after="100" w:afterAutospacing="1"/>
        <w:outlineLvl w:val="3"/>
        <w:rPr>
          <w:b/>
          <w:bCs/>
          <w:sz w:val="24"/>
          <w:szCs w:val="24"/>
        </w:rPr>
      </w:pPr>
    </w:p>
    <w:p w:rsidR="006B710E" w:rsidRDefault="006B710E" w:rsidP="0083253B">
      <w:pPr>
        <w:spacing w:before="100" w:beforeAutospacing="1" w:after="100" w:afterAutospacing="1"/>
        <w:outlineLvl w:val="3"/>
        <w:rPr>
          <w:b/>
          <w:bCs/>
          <w:sz w:val="24"/>
          <w:szCs w:val="24"/>
        </w:rPr>
      </w:pPr>
    </w:p>
    <w:p w:rsidR="006B710E" w:rsidRDefault="006B710E" w:rsidP="0083253B">
      <w:pPr>
        <w:spacing w:before="100" w:beforeAutospacing="1" w:after="100" w:afterAutospacing="1"/>
        <w:outlineLvl w:val="3"/>
        <w:rPr>
          <w:b/>
          <w:bCs/>
          <w:sz w:val="24"/>
          <w:szCs w:val="24"/>
        </w:rPr>
      </w:pPr>
    </w:p>
    <w:p w:rsidR="006B710E" w:rsidRDefault="006B710E" w:rsidP="0083253B">
      <w:pPr>
        <w:spacing w:before="100" w:beforeAutospacing="1" w:after="100" w:afterAutospacing="1"/>
        <w:outlineLvl w:val="3"/>
        <w:rPr>
          <w:b/>
          <w:bCs/>
          <w:sz w:val="24"/>
          <w:szCs w:val="24"/>
        </w:rPr>
      </w:pPr>
    </w:p>
    <w:p w:rsidR="006B710E" w:rsidRDefault="006B710E" w:rsidP="0083253B">
      <w:pPr>
        <w:spacing w:before="100" w:beforeAutospacing="1" w:after="100" w:afterAutospacing="1"/>
        <w:outlineLvl w:val="3"/>
        <w:rPr>
          <w:sz w:val="24"/>
          <w:szCs w:val="24"/>
        </w:rPr>
      </w:pPr>
      <w:r>
        <w:rPr>
          <w:b/>
          <w:bCs/>
          <w:sz w:val="24"/>
          <w:szCs w:val="24"/>
        </w:rPr>
        <w:t>One Final Note:</w:t>
      </w:r>
      <w:r>
        <w:rPr>
          <w:sz w:val="24"/>
          <w:szCs w:val="24"/>
        </w:rPr>
        <w:t xml:space="preserve"> Ultimately the Sensitivity Analysis of the entire model (below) disclosed a bias for the Disaster Recovery solution that I personally preferred. If the project included additional participants the results likely would have been different. </w:t>
      </w:r>
    </w:p>
    <w:p w:rsidR="006B710E" w:rsidRPr="00C50E08" w:rsidRDefault="006B710E" w:rsidP="0083253B">
      <w:pPr>
        <w:spacing w:before="100" w:beforeAutospacing="1" w:after="100" w:afterAutospacing="1"/>
        <w:outlineLvl w:val="3"/>
        <w:rPr>
          <w:sz w:val="24"/>
          <w:szCs w:val="24"/>
        </w:rPr>
      </w:pPr>
      <w:r>
        <w:pict>
          <v:shape id="_x0000_i1046" type="#_x0000_t75" style="width:398.25pt;height:262.5pt">
            <v:imagedata r:id="rId28" o:title=""/>
          </v:shape>
        </w:pict>
      </w:r>
      <w:r w:rsidRPr="0076182E">
        <w:rPr>
          <w:vanish/>
        </w:rPr>
        <w:pict>
          <v:shape id="_x0000_i1047" type="#_x0000_t75" style="width:11.25pt;height:11.25pt" o:bullet="t">
            <v:imagedata r:id="rId29" o:title=""/>
          </v:shape>
        </w:pict>
      </w:r>
      <w:r w:rsidRPr="0076182E">
        <w:rPr>
          <w:vanish/>
          <w:color w:val="auto"/>
          <w:kern w:val="0"/>
          <w:sz w:val="24"/>
          <w:szCs w:val="24"/>
        </w:rPr>
        <w:pict>
          <v:shape id="_x0000_i1048" type="#_x0000_t75" style="width:9pt;height:9pt" o:bullet="t">
            <v:imagedata r:id="rId30" o:title=""/>
          </v:shape>
        </w:pict>
      </w:r>
      <w:r w:rsidRPr="0076182E">
        <w:rPr>
          <w:vanish/>
          <w:color w:val="auto"/>
          <w:kern w:val="0"/>
          <w:sz w:val="24"/>
          <w:szCs w:val="24"/>
        </w:rPr>
        <w:pict>
          <v:shape id="_x0000_i1049" type="#_x0000_t75" style="width:9pt;height:9pt" o:bullet="t">
            <v:imagedata r:id="rId31" o:title=""/>
          </v:shape>
        </w:pict>
      </w:r>
      <w:bookmarkEnd w:id="0"/>
    </w:p>
    <w:sectPr w:rsidR="006B710E" w:rsidRPr="00C50E08" w:rsidSect="00B139A8">
      <w:headerReference w:type="default" r:id="rId32"/>
      <w:footerReference w:type="default" r:id="rId3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10E" w:rsidRDefault="006B710E" w:rsidP="00B139A8">
      <w:r>
        <w:separator/>
      </w:r>
    </w:p>
  </w:endnote>
  <w:endnote w:type="continuationSeparator" w:id="0">
    <w:p w:rsidR="006B710E" w:rsidRDefault="006B710E" w:rsidP="00B139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0E" w:rsidRDefault="006B710E">
    <w:pPr>
      <w:pStyle w:val="Footer"/>
      <w:jc w:val="center"/>
    </w:pPr>
    <w:fldSimple w:instr=" PAGE   \* MERGEFORMAT ">
      <w:r>
        <w:rPr>
          <w:noProof/>
        </w:rPr>
        <w:t>3</w:t>
      </w:r>
    </w:fldSimple>
  </w:p>
  <w:p w:rsidR="006B710E" w:rsidRDefault="006B710E" w:rsidP="00B139A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10E" w:rsidRDefault="006B710E" w:rsidP="00B139A8">
      <w:r>
        <w:separator/>
      </w:r>
    </w:p>
  </w:footnote>
  <w:footnote w:type="continuationSeparator" w:id="0">
    <w:p w:rsidR="006B710E" w:rsidRDefault="006B710E" w:rsidP="00B13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0E" w:rsidRDefault="006B710E">
    <w:pPr>
      <w:pStyle w:val="Header"/>
      <w:pBdr>
        <w:between w:val="single" w:sz="4" w:space="1" w:color="4F81BD"/>
      </w:pBdr>
      <w:spacing w:line="276" w:lineRule="auto"/>
      <w:jc w:val="center"/>
    </w:pPr>
    <w:r>
      <w:rPr>
        <w:color w:val="auto"/>
      </w:rPr>
      <w:t>L.B. Foster Disaster Recovery Solution Selection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F7B04"/>
    <w:multiLevelType w:val="hybridMultilevel"/>
    <w:tmpl w:val="5C3274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B59220A"/>
    <w:multiLevelType w:val="multilevel"/>
    <w:tmpl w:val="0CF687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A675075"/>
    <w:multiLevelType w:val="multilevel"/>
    <w:tmpl w:val="CA9A18A6"/>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nsid w:val="51E20AFD"/>
    <w:multiLevelType w:val="multilevel"/>
    <w:tmpl w:val="CA9A18A6"/>
    <w:lvl w:ilvl="0">
      <w:start w:val="1"/>
      <w:numFmt w:val="bullet"/>
      <w:pStyle w:val="listtex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
    <w:nsid w:val="57D12D99"/>
    <w:multiLevelType w:val="multilevel"/>
    <w:tmpl w:val="92846A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2E94B9D"/>
    <w:multiLevelType w:val="multilevel"/>
    <w:tmpl w:val="1D7456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5602EDD"/>
    <w:multiLevelType w:val="hybridMultilevel"/>
    <w:tmpl w:val="3E06D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E3E6DB0"/>
    <w:multiLevelType w:val="multilevel"/>
    <w:tmpl w:val="6150D6EC"/>
    <w:lvl w:ilvl="0">
      <w:start w:val="1"/>
      <w:numFmt w:val="upperRoman"/>
      <w:lvlText w:val="%1."/>
      <w:lvlJc w:val="left"/>
      <w:pPr>
        <w:tabs>
          <w:tab w:val="num" w:pos="1440"/>
        </w:tabs>
        <w:ind w:left="1440" w:hanging="720"/>
      </w:pPr>
      <w:rPr>
        <w:rFonts w:ascii="Helvetica" w:hAnsi="Helvetica" w:cs="Helvetica" w:hint="default"/>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3"/>
  </w:num>
  <w:num w:numId="2">
    <w:abstractNumId w:val="7"/>
  </w:num>
  <w:num w:numId="3">
    <w:abstractNumId w:val="2"/>
  </w:num>
  <w:num w:numId="4">
    <w:abstractNumId w:val="4"/>
  </w:num>
  <w:num w:numId="5">
    <w:abstractNumId w:val="5"/>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doNotHyphenateCaps/>
  <w:drawingGridHorizontalSpacing w:val="100"/>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39A8"/>
    <w:rsid w:val="00090B56"/>
    <w:rsid w:val="0011176B"/>
    <w:rsid w:val="001B7BD9"/>
    <w:rsid w:val="002416AC"/>
    <w:rsid w:val="002A31D3"/>
    <w:rsid w:val="002A5637"/>
    <w:rsid w:val="002E2FC6"/>
    <w:rsid w:val="002F5063"/>
    <w:rsid w:val="00306635"/>
    <w:rsid w:val="003E6F76"/>
    <w:rsid w:val="00406E61"/>
    <w:rsid w:val="00407372"/>
    <w:rsid w:val="00430C10"/>
    <w:rsid w:val="00446F02"/>
    <w:rsid w:val="00490902"/>
    <w:rsid w:val="004B2F09"/>
    <w:rsid w:val="0050156B"/>
    <w:rsid w:val="00506068"/>
    <w:rsid w:val="00577AA7"/>
    <w:rsid w:val="005926DA"/>
    <w:rsid w:val="006717A7"/>
    <w:rsid w:val="006903F6"/>
    <w:rsid w:val="00697071"/>
    <w:rsid w:val="00697273"/>
    <w:rsid w:val="006A060D"/>
    <w:rsid w:val="006B710E"/>
    <w:rsid w:val="006F646B"/>
    <w:rsid w:val="00735117"/>
    <w:rsid w:val="0076182E"/>
    <w:rsid w:val="007B4A9B"/>
    <w:rsid w:val="007E310B"/>
    <w:rsid w:val="008135C2"/>
    <w:rsid w:val="0083253B"/>
    <w:rsid w:val="00862922"/>
    <w:rsid w:val="00875F91"/>
    <w:rsid w:val="00891B8C"/>
    <w:rsid w:val="008C7AF3"/>
    <w:rsid w:val="00985054"/>
    <w:rsid w:val="009B1EB1"/>
    <w:rsid w:val="00A07CFD"/>
    <w:rsid w:val="00A55D31"/>
    <w:rsid w:val="00B139A8"/>
    <w:rsid w:val="00B22838"/>
    <w:rsid w:val="00B44828"/>
    <w:rsid w:val="00B5364C"/>
    <w:rsid w:val="00B82FEE"/>
    <w:rsid w:val="00C50E08"/>
    <w:rsid w:val="00C6047F"/>
    <w:rsid w:val="00CB77B4"/>
    <w:rsid w:val="00CF3123"/>
    <w:rsid w:val="00D34F88"/>
    <w:rsid w:val="00D478A0"/>
    <w:rsid w:val="00D55738"/>
    <w:rsid w:val="00DA22FF"/>
    <w:rsid w:val="00DC4589"/>
    <w:rsid w:val="00DF34B7"/>
    <w:rsid w:val="00E57029"/>
    <w:rsid w:val="00E85388"/>
    <w:rsid w:val="00E92E23"/>
    <w:rsid w:val="00ED0556"/>
    <w:rsid w:val="00F6050C"/>
    <w:rsid w:val="00F74B74"/>
    <w:rsid w:val="00FA5A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F91"/>
    <w:rPr>
      <w:color w:val="000000"/>
      <w:kern w:val="28"/>
      <w:sz w:val="20"/>
      <w:szCs w:val="20"/>
    </w:rPr>
  </w:style>
  <w:style w:type="paragraph" w:styleId="Heading1">
    <w:name w:val="heading 1"/>
    <w:basedOn w:val="Normal"/>
    <w:next w:val="Normal"/>
    <w:link w:val="Heading1Char"/>
    <w:uiPriority w:val="99"/>
    <w:qFormat/>
    <w:rsid w:val="009B1EB1"/>
    <w:pPr>
      <w:outlineLvl w:val="0"/>
    </w:pPr>
    <w:rPr>
      <w:rFonts w:ascii="Lucida Sans Unicode" w:hAnsi="Lucida Sans Unicode" w:cs="Lucida Sans Unicode"/>
      <w:b/>
      <w:bCs/>
      <w:color w:val="auto"/>
      <w:spacing w:val="20"/>
      <w:sz w:val="56"/>
      <w:szCs w:val="56"/>
    </w:rPr>
  </w:style>
  <w:style w:type="paragraph" w:styleId="Heading2">
    <w:name w:val="heading 2"/>
    <w:basedOn w:val="Normal"/>
    <w:next w:val="Normal"/>
    <w:link w:val="Heading2Char"/>
    <w:uiPriority w:val="99"/>
    <w:qFormat/>
    <w:rsid w:val="009B1EB1"/>
    <w:pPr>
      <w:keepNext/>
      <w:jc w:val="center"/>
      <w:outlineLvl w:val="1"/>
    </w:pPr>
    <w:rPr>
      <w:rFonts w:ascii="Lucida Sans Unicode" w:hAnsi="Lucida Sans Unicode" w:cs="Lucida Sans Unicode"/>
      <w:i/>
      <w:iCs/>
      <w:color w:val="FFFFFF"/>
      <w:spacing w:val="100"/>
      <w:sz w:val="28"/>
      <w:szCs w:val="28"/>
    </w:rPr>
  </w:style>
  <w:style w:type="paragraph" w:styleId="Heading3">
    <w:name w:val="heading 3"/>
    <w:basedOn w:val="Normal"/>
    <w:next w:val="Normal"/>
    <w:link w:val="Heading3Char"/>
    <w:uiPriority w:val="99"/>
    <w:qFormat/>
    <w:rsid w:val="002F5063"/>
    <w:pPr>
      <w:keepNext/>
      <w:spacing w:before="240" w:after="60"/>
      <w:jc w:val="right"/>
      <w:outlineLvl w:val="2"/>
    </w:pPr>
    <w:rPr>
      <w:rFonts w:ascii="Tahoma" w:hAnsi="Tahoma" w:cs="Tahoma"/>
      <w:b/>
      <w:bCs/>
      <w:color w:val="000084"/>
      <w:spacing w:val="20"/>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5D31"/>
    <w:rPr>
      <w:rFonts w:ascii="Lucida Sans Unicode" w:hAnsi="Lucida Sans Unicode" w:cs="Lucida Sans Unicode"/>
      <w:b/>
      <w:bCs/>
      <w:spacing w:val="20"/>
      <w:kern w:val="28"/>
      <w:sz w:val="56"/>
      <w:szCs w:val="56"/>
      <w:lang w:val="en-US" w:eastAsia="en-US"/>
    </w:rPr>
  </w:style>
  <w:style w:type="character" w:customStyle="1" w:styleId="Heading2Char">
    <w:name w:val="Heading 2 Char"/>
    <w:basedOn w:val="DefaultParagraphFont"/>
    <w:link w:val="Heading2"/>
    <w:uiPriority w:val="99"/>
    <w:locked/>
    <w:rsid w:val="00A55D31"/>
    <w:rPr>
      <w:rFonts w:ascii="Lucida Sans Unicode" w:hAnsi="Lucida Sans Unicode" w:cs="Lucida Sans Unicode"/>
      <w:i/>
      <w:iCs/>
      <w:color w:val="FFFFFF"/>
      <w:spacing w:val="100"/>
      <w:kern w:val="28"/>
      <w:sz w:val="28"/>
      <w:szCs w:val="28"/>
      <w:lang w:val="en-US" w:eastAsia="en-US"/>
    </w:rPr>
  </w:style>
  <w:style w:type="character" w:customStyle="1" w:styleId="Heading3Char">
    <w:name w:val="Heading 3 Char"/>
    <w:basedOn w:val="DefaultParagraphFont"/>
    <w:link w:val="Heading3"/>
    <w:uiPriority w:val="99"/>
    <w:semiHidden/>
    <w:locked/>
    <w:rPr>
      <w:rFonts w:ascii="Cambria" w:hAnsi="Cambria" w:cs="Cambria"/>
      <w:b/>
      <w:bCs/>
      <w:color w:val="000000"/>
      <w:kern w:val="28"/>
      <w:sz w:val="26"/>
      <w:szCs w:val="26"/>
    </w:rPr>
  </w:style>
  <w:style w:type="paragraph" w:customStyle="1" w:styleId="listtext">
    <w:name w:val="list text"/>
    <w:uiPriority w:val="99"/>
    <w:rsid w:val="009B1EB1"/>
    <w:pPr>
      <w:numPr>
        <w:numId w:val="1"/>
      </w:numPr>
      <w:spacing w:before="100" w:beforeAutospacing="1" w:after="100" w:afterAutospacing="1" w:line="360" w:lineRule="auto"/>
    </w:pPr>
    <w:rPr>
      <w:rFonts w:ascii="Tahoma" w:hAnsi="Tahoma" w:cs="Tahoma"/>
      <w:spacing w:val="10"/>
      <w:kern w:val="28"/>
      <w:sz w:val="24"/>
      <w:szCs w:val="24"/>
    </w:rPr>
  </w:style>
  <w:style w:type="paragraph" w:styleId="Header">
    <w:name w:val="header"/>
    <w:basedOn w:val="Normal"/>
    <w:link w:val="HeaderChar"/>
    <w:uiPriority w:val="99"/>
    <w:rsid w:val="00B139A8"/>
    <w:pPr>
      <w:tabs>
        <w:tab w:val="center" w:pos="4680"/>
        <w:tab w:val="right" w:pos="9360"/>
      </w:tabs>
    </w:pPr>
  </w:style>
  <w:style w:type="character" w:customStyle="1" w:styleId="HeaderChar">
    <w:name w:val="Header Char"/>
    <w:basedOn w:val="DefaultParagraphFont"/>
    <w:link w:val="Header"/>
    <w:uiPriority w:val="99"/>
    <w:locked/>
    <w:rsid w:val="00B139A8"/>
    <w:rPr>
      <w:color w:val="000000"/>
      <w:kern w:val="28"/>
    </w:rPr>
  </w:style>
  <w:style w:type="paragraph" w:styleId="Footer">
    <w:name w:val="footer"/>
    <w:basedOn w:val="Normal"/>
    <w:link w:val="FooterChar"/>
    <w:uiPriority w:val="99"/>
    <w:rsid w:val="00B139A8"/>
    <w:pPr>
      <w:tabs>
        <w:tab w:val="center" w:pos="4680"/>
        <w:tab w:val="right" w:pos="9360"/>
      </w:tabs>
    </w:pPr>
  </w:style>
  <w:style w:type="character" w:customStyle="1" w:styleId="FooterChar">
    <w:name w:val="Footer Char"/>
    <w:basedOn w:val="DefaultParagraphFont"/>
    <w:link w:val="Footer"/>
    <w:uiPriority w:val="99"/>
    <w:locked/>
    <w:rsid w:val="00B139A8"/>
    <w:rPr>
      <w:color w:val="000000"/>
      <w:kern w:val="28"/>
    </w:rPr>
  </w:style>
  <w:style w:type="paragraph" w:styleId="BalloonText">
    <w:name w:val="Balloon Text"/>
    <w:basedOn w:val="Normal"/>
    <w:link w:val="BalloonTextChar"/>
    <w:uiPriority w:val="99"/>
    <w:semiHidden/>
    <w:rsid w:val="00B139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39A8"/>
    <w:rPr>
      <w:rFonts w:ascii="Tahoma" w:hAnsi="Tahoma" w:cs="Tahoma"/>
      <w:color w:val="000000"/>
      <w:kern w:val="28"/>
      <w:sz w:val="16"/>
      <w:szCs w:val="16"/>
    </w:rPr>
  </w:style>
  <w:style w:type="paragraph" w:customStyle="1" w:styleId="pcontents">
    <w:name w:val="p_contents"/>
    <w:basedOn w:val="Normal"/>
    <w:uiPriority w:val="99"/>
    <w:rsid w:val="00A55D31"/>
    <w:pPr>
      <w:spacing w:before="156" w:after="156" w:line="384" w:lineRule="atLeast"/>
      <w:jc w:val="both"/>
    </w:pPr>
    <w:rPr>
      <w:color w:val="333333"/>
      <w:kern w:val="0"/>
      <w:sz w:val="18"/>
      <w:szCs w:val="18"/>
    </w:rPr>
  </w:style>
  <w:style w:type="character" w:styleId="Emphasis">
    <w:name w:val="Emphasis"/>
    <w:basedOn w:val="DefaultParagraphFont"/>
    <w:uiPriority w:val="99"/>
    <w:qFormat/>
    <w:rsid w:val="00A55D31"/>
    <w:rPr>
      <w:i/>
      <w:iCs/>
    </w:rPr>
  </w:style>
  <w:style w:type="paragraph" w:customStyle="1" w:styleId="yiv58177436msonormal">
    <w:name w:val="yiv58177436msonormal"/>
    <w:basedOn w:val="Normal"/>
    <w:uiPriority w:val="99"/>
    <w:rsid w:val="006A060D"/>
    <w:pPr>
      <w:spacing w:before="100" w:beforeAutospacing="1" w:after="100" w:afterAutospacing="1"/>
    </w:pPr>
    <w:rPr>
      <w:color w:val="auto"/>
      <w:kern w:val="0"/>
      <w:sz w:val="24"/>
      <w:szCs w:val="24"/>
    </w:rPr>
  </w:style>
  <w:style w:type="table" w:styleId="TableGrid">
    <w:name w:val="Table Grid"/>
    <w:basedOn w:val="TableNormal"/>
    <w:uiPriority w:val="99"/>
    <w:locked/>
    <w:rsid w:val="00430C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5758960">
      <w:marLeft w:val="0"/>
      <w:marRight w:val="0"/>
      <w:marTop w:val="0"/>
      <w:marBottom w:val="0"/>
      <w:divBdr>
        <w:top w:val="none" w:sz="0" w:space="0" w:color="auto"/>
        <w:left w:val="none" w:sz="0" w:space="0" w:color="auto"/>
        <w:bottom w:val="none" w:sz="0" w:space="0" w:color="auto"/>
        <w:right w:val="none" w:sz="0" w:space="0" w:color="auto"/>
      </w:divBdr>
    </w:div>
    <w:div w:id="795758964">
      <w:marLeft w:val="584"/>
      <w:marRight w:val="0"/>
      <w:marTop w:val="0"/>
      <w:marBottom w:val="0"/>
      <w:divBdr>
        <w:top w:val="none" w:sz="0" w:space="0" w:color="auto"/>
        <w:left w:val="none" w:sz="0" w:space="0" w:color="auto"/>
        <w:bottom w:val="none" w:sz="0" w:space="0" w:color="auto"/>
        <w:right w:val="none" w:sz="0" w:space="0" w:color="auto"/>
      </w:divBdr>
      <w:divsChild>
        <w:div w:id="795758963">
          <w:marLeft w:val="0"/>
          <w:marRight w:val="0"/>
          <w:marTop w:val="0"/>
          <w:marBottom w:val="0"/>
          <w:divBdr>
            <w:top w:val="none" w:sz="0" w:space="0" w:color="auto"/>
            <w:left w:val="none" w:sz="0" w:space="0" w:color="auto"/>
            <w:bottom w:val="none" w:sz="0" w:space="0" w:color="auto"/>
            <w:right w:val="none" w:sz="0" w:space="0" w:color="auto"/>
          </w:divBdr>
          <w:divsChild>
            <w:div w:id="795758959">
              <w:marLeft w:val="0"/>
              <w:marRight w:val="0"/>
              <w:marTop w:val="0"/>
              <w:marBottom w:val="0"/>
              <w:divBdr>
                <w:top w:val="none" w:sz="0" w:space="0" w:color="auto"/>
                <w:left w:val="none" w:sz="0" w:space="0" w:color="auto"/>
                <w:bottom w:val="none" w:sz="0" w:space="0" w:color="auto"/>
                <w:right w:val="none" w:sz="0" w:space="0" w:color="auto"/>
              </w:divBdr>
              <w:divsChild>
                <w:div w:id="795758962">
                  <w:marLeft w:val="0"/>
                  <w:marRight w:val="0"/>
                  <w:marTop w:val="78"/>
                  <w:marBottom w:val="0"/>
                  <w:divBdr>
                    <w:top w:val="none" w:sz="0" w:space="0" w:color="auto"/>
                    <w:left w:val="none" w:sz="0" w:space="0" w:color="auto"/>
                    <w:bottom w:val="none" w:sz="0" w:space="0" w:color="auto"/>
                    <w:right w:val="none" w:sz="0" w:space="0" w:color="auto"/>
                  </w:divBdr>
                  <w:divsChild>
                    <w:div w:id="795758961">
                      <w:marLeft w:val="234"/>
                      <w:marRight w:val="78"/>
                      <w:marTop w:val="292"/>
                      <w:marBottom w:val="0"/>
                      <w:divBdr>
                        <w:top w:val="none" w:sz="0" w:space="0" w:color="auto"/>
                        <w:left w:val="none" w:sz="0" w:space="0" w:color="auto"/>
                        <w:bottom w:val="none" w:sz="0" w:space="0" w:color="auto"/>
                        <w:right w:val="none" w:sz="0" w:space="0" w:color="auto"/>
                      </w:divBdr>
                    </w:div>
                  </w:divsChild>
                </w:div>
              </w:divsChild>
            </w:div>
          </w:divsChild>
        </w:div>
      </w:divsChild>
    </w:div>
    <w:div w:id="795758965">
      <w:marLeft w:val="0"/>
      <w:marRight w:val="0"/>
      <w:marTop w:val="0"/>
      <w:marBottom w:val="0"/>
      <w:divBdr>
        <w:top w:val="none" w:sz="0" w:space="0" w:color="auto"/>
        <w:left w:val="none" w:sz="0" w:space="0" w:color="auto"/>
        <w:bottom w:val="none" w:sz="0" w:space="0" w:color="auto"/>
        <w:right w:val="none" w:sz="0" w:space="0" w:color="auto"/>
      </w:divBdr>
    </w:div>
    <w:div w:id="795758966">
      <w:marLeft w:val="0"/>
      <w:marRight w:val="0"/>
      <w:marTop w:val="0"/>
      <w:marBottom w:val="0"/>
      <w:divBdr>
        <w:top w:val="none" w:sz="0" w:space="0" w:color="auto"/>
        <w:left w:val="none" w:sz="0" w:space="0" w:color="auto"/>
        <w:bottom w:val="none" w:sz="0" w:space="0" w:color="auto"/>
        <w:right w:val="none" w:sz="0" w:space="0" w:color="auto"/>
      </w:divBdr>
    </w:div>
    <w:div w:id="795758967">
      <w:marLeft w:val="0"/>
      <w:marRight w:val="0"/>
      <w:marTop w:val="0"/>
      <w:marBottom w:val="0"/>
      <w:divBdr>
        <w:top w:val="none" w:sz="0" w:space="0" w:color="auto"/>
        <w:left w:val="none" w:sz="0" w:space="0" w:color="auto"/>
        <w:bottom w:val="none" w:sz="0" w:space="0" w:color="auto"/>
        <w:right w:val="none" w:sz="0" w:space="0" w:color="auto"/>
      </w:divBdr>
    </w:div>
    <w:div w:id="795758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449</TotalTime>
  <Pages>12</Pages>
  <Words>1770</Words>
  <Characters>10089</Characters>
  <Application>Microsoft Office Outlook</Application>
  <DocSecurity>0</DocSecurity>
  <Lines>0</Lines>
  <Paragraphs>0</Paragraphs>
  <ScaleCrop>false</ScaleCrop>
  <Company>L. B. Foster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 Foster Disaster Recovery Solution Selection</dc:title>
  <dc:subject/>
  <dc:creator>Edward Donehue</dc:creator>
  <cp:keywords/>
  <dc:description/>
  <cp:lastModifiedBy>ecd</cp:lastModifiedBy>
  <cp:revision>6</cp:revision>
  <dcterms:created xsi:type="dcterms:W3CDTF">2013-04-22T18:13:00Z</dcterms:created>
  <dcterms:modified xsi:type="dcterms:W3CDTF">2013-04-23T22:39:00Z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TC060874161033</vt:lpwstr>
  </property>
</Properties>
</file>